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493B5" w14:textId="77777777" w:rsidR="0076327C" w:rsidRDefault="0076327C">
      <w:pPr>
        <w:jc w:val="center"/>
        <w:rPr>
          <w:b/>
          <w:color w:val="1F4E79"/>
          <w:sz w:val="36"/>
        </w:rPr>
      </w:pPr>
    </w:p>
    <w:p w14:paraId="30439294" w14:textId="2A440EF9" w:rsidR="00061D25" w:rsidRPr="000B397B" w:rsidRDefault="00000000">
      <w:pPr>
        <w:jc w:val="center"/>
        <w:rPr>
          <w:rFonts w:ascii="Times New Roman" w:hAnsi="Times New Roman" w:cs="Times New Roman"/>
          <w:i/>
          <w:sz w:val="28"/>
          <w:szCs w:val="28"/>
        </w:rPr>
      </w:pPr>
      <w:r w:rsidRPr="000B397B">
        <w:rPr>
          <w:rFonts w:ascii="Times New Roman" w:hAnsi="Times New Roman" w:cs="Times New Roman"/>
          <w:i/>
          <w:sz w:val="28"/>
          <w:szCs w:val="28"/>
        </w:rPr>
        <w:t xml:space="preserve">Project #5 </w:t>
      </w:r>
      <w:r w:rsidR="0076327C" w:rsidRPr="000B397B">
        <w:rPr>
          <w:rFonts w:ascii="Times New Roman" w:hAnsi="Times New Roman" w:cs="Times New Roman"/>
          <w:i/>
          <w:sz w:val="28"/>
          <w:szCs w:val="28"/>
        </w:rPr>
        <w:t xml:space="preserve">- </w:t>
      </w:r>
      <w:r w:rsidRPr="000B397B">
        <w:rPr>
          <w:rFonts w:ascii="Times New Roman" w:hAnsi="Times New Roman" w:cs="Times New Roman"/>
          <w:i/>
          <w:sz w:val="28"/>
          <w:szCs w:val="28"/>
        </w:rPr>
        <w:t>North Dakota Pipeline Water Quality Analysis</w:t>
      </w:r>
    </w:p>
    <w:p w14:paraId="23D53674" w14:textId="77777777" w:rsidR="0076327C" w:rsidRPr="000B397B" w:rsidRDefault="0076327C">
      <w:pPr>
        <w:jc w:val="center"/>
        <w:rPr>
          <w:rFonts w:ascii="Times New Roman" w:hAnsi="Times New Roman" w:cs="Times New Roman"/>
        </w:rPr>
      </w:pPr>
    </w:p>
    <w:p w14:paraId="2B5AFAAE" w14:textId="77777777" w:rsidR="00061D25" w:rsidRPr="000B397B" w:rsidRDefault="00000000">
      <w:pPr>
        <w:rPr>
          <w:rFonts w:ascii="Times New Roman" w:hAnsi="Times New Roman" w:cs="Times New Roman"/>
        </w:rPr>
      </w:pPr>
      <w:r w:rsidRPr="000B397B">
        <w:rPr>
          <w:rFonts w:ascii="Times New Roman" w:hAnsi="Times New Roman" w:cs="Times New Roman"/>
          <w:b/>
          <w:bCs/>
        </w:rPr>
        <w:t>Prepared by:</w:t>
      </w:r>
      <w:r w:rsidRPr="000B397B">
        <w:rPr>
          <w:rFonts w:ascii="Times New Roman" w:hAnsi="Times New Roman" w:cs="Times New Roman"/>
        </w:rPr>
        <w:t xml:space="preserve"> Rashid Hamid, Abbas Bashir, and Abdi Aden</w:t>
      </w:r>
    </w:p>
    <w:p w14:paraId="5C4FA08E" w14:textId="4227BE0D" w:rsidR="00061D25" w:rsidRPr="000B397B" w:rsidRDefault="00000000">
      <w:pPr>
        <w:rPr>
          <w:rFonts w:ascii="Times New Roman" w:hAnsi="Times New Roman" w:cs="Times New Roman"/>
        </w:rPr>
      </w:pPr>
      <w:r w:rsidRPr="000B397B">
        <w:rPr>
          <w:rFonts w:ascii="Times New Roman" w:hAnsi="Times New Roman" w:cs="Times New Roman"/>
          <w:b/>
          <w:bCs/>
        </w:rPr>
        <w:t>Course:</w:t>
      </w:r>
      <w:r w:rsidRPr="000B397B">
        <w:rPr>
          <w:rFonts w:ascii="Times New Roman" w:hAnsi="Times New Roman" w:cs="Times New Roman"/>
        </w:rPr>
        <w:t xml:space="preserve"> CIVE 202 </w:t>
      </w:r>
      <w:r w:rsidR="0076327C" w:rsidRPr="000B397B">
        <w:rPr>
          <w:rFonts w:ascii="Times New Roman" w:hAnsi="Times New Roman" w:cs="Times New Roman"/>
        </w:rPr>
        <w:t>-</w:t>
      </w:r>
      <w:r w:rsidRPr="000B397B">
        <w:rPr>
          <w:rFonts w:ascii="Times New Roman" w:hAnsi="Times New Roman" w:cs="Times New Roman"/>
        </w:rPr>
        <w:t xml:space="preserve"> Civil Engineering Analysis II</w:t>
      </w:r>
    </w:p>
    <w:p w14:paraId="6062ED0B" w14:textId="4E2C97B6" w:rsidR="000B397B" w:rsidRPr="000B397B" w:rsidRDefault="00000000">
      <w:pPr>
        <w:rPr>
          <w:rFonts w:ascii="Times New Roman" w:hAnsi="Times New Roman" w:cs="Times New Roman"/>
        </w:rPr>
      </w:pPr>
      <w:r w:rsidRPr="000B397B">
        <w:rPr>
          <w:rFonts w:ascii="Times New Roman" w:hAnsi="Times New Roman" w:cs="Times New Roman"/>
          <w:b/>
          <w:bCs/>
        </w:rPr>
        <w:t>Project:</w:t>
      </w:r>
      <w:r w:rsidRPr="000B397B">
        <w:rPr>
          <w:rFonts w:ascii="Times New Roman" w:hAnsi="Times New Roman" w:cs="Times New Roman"/>
        </w:rPr>
        <w:t xml:space="preserve"> Project #5 </w:t>
      </w:r>
      <w:r w:rsidR="0076327C" w:rsidRPr="000B397B">
        <w:rPr>
          <w:rFonts w:ascii="Times New Roman" w:hAnsi="Times New Roman" w:cs="Times New Roman"/>
        </w:rPr>
        <w:t>-</w:t>
      </w:r>
      <w:r w:rsidRPr="000B397B">
        <w:rPr>
          <w:rFonts w:ascii="Times New Roman" w:hAnsi="Times New Roman" w:cs="Times New Roman"/>
        </w:rPr>
        <w:t xml:space="preserve"> North Dakota Pipeline Water Quality Analysis</w:t>
      </w:r>
    </w:p>
    <w:p w14:paraId="2A3ECD95" w14:textId="4BE5D6FE" w:rsidR="00061D25" w:rsidRPr="000B397B" w:rsidRDefault="00000000">
      <w:pPr>
        <w:pStyle w:val="Heading1"/>
        <w:rPr>
          <w:rFonts w:ascii="Times New Roman" w:hAnsi="Times New Roman" w:cs="Times New Roman"/>
        </w:rPr>
      </w:pPr>
      <w:r w:rsidRPr="000B397B">
        <w:rPr>
          <w:rFonts w:ascii="Times New Roman" w:hAnsi="Times New Roman" w:cs="Times New Roman"/>
        </w:rPr>
        <w:t>Project Purpose</w:t>
      </w:r>
    </w:p>
    <w:p w14:paraId="46619C7A" w14:textId="0A67F339" w:rsidR="00061D25" w:rsidRPr="000B397B" w:rsidRDefault="0076327C">
      <w:pPr>
        <w:rPr>
          <w:rFonts w:ascii="Times New Roman" w:hAnsi="Times New Roman" w:cs="Times New Roman"/>
        </w:rPr>
      </w:pPr>
      <w:r w:rsidRPr="000B397B">
        <w:rPr>
          <w:rFonts w:ascii="Times New Roman" w:hAnsi="Times New Roman" w:cs="Times New Roman"/>
        </w:rPr>
        <w:t>The research focuses on the change in the water quality as the water flows from Lake Sakakawea to the Sheyenne River and Lake Ashtabula. The research seeks to determine whether the water quality is enriched with more dissolved substances at downstream sites.</w:t>
      </w:r>
    </w:p>
    <w:p w14:paraId="29BCDBDF" w14:textId="77777777" w:rsidR="00061D25" w:rsidRPr="000B397B" w:rsidRDefault="00000000">
      <w:pPr>
        <w:pStyle w:val="Heading1"/>
        <w:rPr>
          <w:rFonts w:ascii="Times New Roman" w:hAnsi="Times New Roman" w:cs="Times New Roman"/>
        </w:rPr>
      </w:pPr>
      <w:r w:rsidRPr="000B397B">
        <w:rPr>
          <w:rFonts w:ascii="Times New Roman" w:hAnsi="Times New Roman" w:cs="Times New Roman"/>
        </w:rPr>
        <w:t>What Was Analyzed</w:t>
      </w:r>
    </w:p>
    <w:p w14:paraId="4D4BD4E6" w14:textId="0CFFE760" w:rsidR="00061D25" w:rsidRPr="000B397B" w:rsidRDefault="0076327C">
      <w:pPr>
        <w:rPr>
          <w:rFonts w:ascii="Times New Roman" w:hAnsi="Times New Roman" w:cs="Times New Roman"/>
        </w:rPr>
      </w:pPr>
      <w:r w:rsidRPr="000B397B">
        <w:rPr>
          <w:rFonts w:ascii="Times New Roman" w:hAnsi="Times New Roman" w:cs="Times New Roman"/>
        </w:rPr>
        <w:t>The project incorporated water quality information using water quality measurements, including total dissolved solids, sulfates, calcium, magnesium, and pH levels. Such measurements will help indicate whether the mineral content is increasing or the water hardness is increasing.</w:t>
      </w:r>
    </w:p>
    <w:p w14:paraId="7133620E" w14:textId="77777777" w:rsidR="00061D25" w:rsidRPr="000B397B" w:rsidRDefault="00000000">
      <w:pPr>
        <w:pStyle w:val="Heading1"/>
        <w:rPr>
          <w:rFonts w:ascii="Times New Roman" w:hAnsi="Times New Roman" w:cs="Times New Roman"/>
        </w:rPr>
      </w:pPr>
      <w:r w:rsidRPr="000B397B">
        <w:rPr>
          <w:rFonts w:ascii="Times New Roman" w:hAnsi="Times New Roman" w:cs="Times New Roman"/>
        </w:rPr>
        <w:t>Main Results</w:t>
      </w:r>
    </w:p>
    <w:p w14:paraId="5C76CDCC" w14:textId="77777777" w:rsidR="0076327C" w:rsidRPr="000B397B" w:rsidRDefault="0076327C" w:rsidP="0076327C">
      <w:pPr>
        <w:rPr>
          <w:rFonts w:ascii="Times New Roman" w:hAnsi="Times New Roman" w:cs="Times New Roman"/>
        </w:rPr>
      </w:pPr>
      <w:r w:rsidRPr="000B397B">
        <w:rPr>
          <w:rFonts w:ascii="Times New Roman" w:hAnsi="Times New Roman" w:cs="Times New Roman"/>
        </w:rPr>
        <w:t>Total dissolved solids went up from approximately 395 mg/L in Lake Sakakawea to 903 mg/L in Lake Ashtabula. This indicates that there was more dissolution in the water in the second lake compared to the first lake in this study.</w:t>
      </w:r>
    </w:p>
    <w:p w14:paraId="190511C6" w14:textId="6EEE3903" w:rsidR="00061D25" w:rsidRPr="000B397B" w:rsidRDefault="0076327C" w:rsidP="0076327C">
      <w:pPr>
        <w:rPr>
          <w:rFonts w:ascii="Times New Roman" w:hAnsi="Times New Roman" w:cs="Times New Roman"/>
        </w:rPr>
      </w:pPr>
      <w:r w:rsidRPr="000B397B">
        <w:rPr>
          <w:rFonts w:ascii="Times New Roman" w:hAnsi="Times New Roman" w:cs="Times New Roman"/>
        </w:rPr>
        <w:t>There was also an increase in sulfate concentration from approximately 159 mg/L to 364 mg/L. Thus, sulfate and total dissolved solids are two of the key indicators.</w:t>
      </w:r>
    </w:p>
    <w:p w14:paraId="7287A0B5" w14:textId="77777777" w:rsidR="00061D25" w:rsidRPr="000B397B" w:rsidRDefault="00000000">
      <w:pPr>
        <w:pStyle w:val="Heading1"/>
        <w:rPr>
          <w:rFonts w:ascii="Times New Roman" w:hAnsi="Times New Roman" w:cs="Times New Roman"/>
        </w:rPr>
      </w:pPr>
      <w:r w:rsidRPr="000B397B">
        <w:rPr>
          <w:rFonts w:ascii="Times New Roman" w:hAnsi="Times New Roman" w:cs="Times New Roman"/>
        </w:rPr>
        <w:t>TDS Mixing Model</w:t>
      </w:r>
    </w:p>
    <w:p w14:paraId="582D4068" w14:textId="1B3EB7BA" w:rsidR="00061D25" w:rsidRPr="000B397B" w:rsidRDefault="0076327C">
      <w:pPr>
        <w:rPr>
          <w:rFonts w:ascii="Times New Roman" w:hAnsi="Times New Roman" w:cs="Times New Roman"/>
        </w:rPr>
      </w:pPr>
      <w:proofErr w:type="gramStart"/>
      <w:r w:rsidRPr="000B397B">
        <w:rPr>
          <w:rFonts w:ascii="Times New Roman" w:hAnsi="Times New Roman" w:cs="Times New Roman"/>
        </w:rPr>
        <w:t>An</w:t>
      </w:r>
      <w:proofErr w:type="gramEnd"/>
      <w:r w:rsidRPr="000B397B">
        <w:rPr>
          <w:rFonts w:ascii="Times New Roman" w:hAnsi="Times New Roman" w:cs="Times New Roman"/>
        </w:rPr>
        <w:t xml:space="preserve"> </w:t>
      </w:r>
      <w:r w:rsidR="00B01F1E" w:rsidRPr="000B397B">
        <w:rPr>
          <w:rFonts w:ascii="Times New Roman" w:hAnsi="Times New Roman" w:cs="Times New Roman"/>
        </w:rPr>
        <w:t>simple</w:t>
      </w:r>
      <w:r w:rsidRPr="000B397B">
        <w:rPr>
          <w:rFonts w:ascii="Times New Roman" w:hAnsi="Times New Roman" w:cs="Times New Roman"/>
        </w:rPr>
        <w:t xml:space="preserve"> mixing model was developed for calculating the concentration of total dissolved solids that would occur if the water from the canal were to mix with the river water. This model can be modified through the input of various values of the flow rate and dissolved solids.</w:t>
      </w:r>
    </w:p>
    <w:p w14:paraId="5B0CAAF9" w14:textId="77777777" w:rsidR="00061D25" w:rsidRPr="000B397B" w:rsidRDefault="00000000">
      <w:pPr>
        <w:rPr>
          <w:rFonts w:ascii="Times New Roman" w:hAnsi="Times New Roman" w:cs="Times New Roman"/>
        </w:rPr>
      </w:pPr>
      <w:r w:rsidRPr="000B397B">
        <w:rPr>
          <w:rFonts w:ascii="Times New Roman" w:hAnsi="Times New Roman" w:cs="Times New Roman"/>
          <w:b/>
        </w:rPr>
        <w:t>Table 1. Example TDS Mixing Scenarios</w:t>
      </w:r>
    </w:p>
    <w:tbl>
      <w:tblPr>
        <w:tblStyle w:val="GridTable5Dark"/>
        <w:tblW w:w="0" w:type="auto"/>
        <w:tblLook w:val="04A0" w:firstRow="1" w:lastRow="0" w:firstColumn="1" w:lastColumn="0" w:noHBand="0" w:noVBand="1"/>
      </w:tblPr>
      <w:tblGrid>
        <w:gridCol w:w="1704"/>
        <w:gridCol w:w="1704"/>
        <w:gridCol w:w="1704"/>
        <w:gridCol w:w="1704"/>
        <w:gridCol w:w="1704"/>
        <w:gridCol w:w="1704"/>
      </w:tblGrid>
      <w:tr w:rsidR="00061D25" w:rsidRPr="000B397B" w14:paraId="43272F1B" w14:textId="77777777" w:rsidTr="00B01F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4" w:type="dxa"/>
          </w:tcPr>
          <w:p w14:paraId="10080074" w14:textId="77777777" w:rsidR="00061D25" w:rsidRPr="000B397B" w:rsidRDefault="00000000">
            <w:pPr>
              <w:rPr>
                <w:rFonts w:ascii="Times New Roman" w:hAnsi="Times New Roman" w:cs="Times New Roman"/>
              </w:rPr>
            </w:pPr>
            <w:r w:rsidRPr="000B397B">
              <w:rPr>
                <w:rFonts w:ascii="Times New Roman" w:hAnsi="Times New Roman" w:cs="Times New Roman"/>
                <w:color w:val="FFFFFF"/>
                <w:sz w:val="18"/>
              </w:rPr>
              <w:t>Scenario</w:t>
            </w:r>
          </w:p>
        </w:tc>
        <w:tc>
          <w:tcPr>
            <w:tcW w:w="1704" w:type="dxa"/>
          </w:tcPr>
          <w:p w14:paraId="1E062E7F" w14:textId="77777777" w:rsidR="00061D25" w:rsidRPr="000B397B"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B397B">
              <w:rPr>
                <w:rFonts w:ascii="Times New Roman" w:hAnsi="Times New Roman" w:cs="Times New Roman"/>
                <w:color w:val="FFFFFF"/>
                <w:sz w:val="18"/>
              </w:rPr>
              <w:t>Pipe Flow (cfs)</w:t>
            </w:r>
          </w:p>
        </w:tc>
        <w:tc>
          <w:tcPr>
            <w:tcW w:w="1704" w:type="dxa"/>
          </w:tcPr>
          <w:p w14:paraId="6E327522" w14:textId="77777777" w:rsidR="00061D25" w:rsidRPr="000B397B"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B397B">
              <w:rPr>
                <w:rFonts w:ascii="Times New Roman" w:hAnsi="Times New Roman" w:cs="Times New Roman"/>
                <w:color w:val="FFFFFF"/>
                <w:sz w:val="18"/>
              </w:rPr>
              <w:t>Pipe TDS (mg/L)</w:t>
            </w:r>
          </w:p>
        </w:tc>
        <w:tc>
          <w:tcPr>
            <w:tcW w:w="1704" w:type="dxa"/>
          </w:tcPr>
          <w:p w14:paraId="20C47FA2" w14:textId="77777777" w:rsidR="00061D25" w:rsidRPr="000B397B"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B397B">
              <w:rPr>
                <w:rFonts w:ascii="Times New Roman" w:hAnsi="Times New Roman" w:cs="Times New Roman"/>
                <w:color w:val="FFFFFF"/>
                <w:sz w:val="18"/>
              </w:rPr>
              <w:t>River Flow (cfs)</w:t>
            </w:r>
          </w:p>
        </w:tc>
        <w:tc>
          <w:tcPr>
            <w:tcW w:w="1704" w:type="dxa"/>
          </w:tcPr>
          <w:p w14:paraId="2D611B15" w14:textId="77777777" w:rsidR="00061D25" w:rsidRPr="000B397B"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B397B">
              <w:rPr>
                <w:rFonts w:ascii="Times New Roman" w:hAnsi="Times New Roman" w:cs="Times New Roman"/>
                <w:color w:val="FFFFFF"/>
                <w:sz w:val="18"/>
              </w:rPr>
              <w:t>River TDS (mg/L)</w:t>
            </w:r>
          </w:p>
        </w:tc>
        <w:tc>
          <w:tcPr>
            <w:tcW w:w="1704" w:type="dxa"/>
          </w:tcPr>
          <w:p w14:paraId="0158B512" w14:textId="77777777" w:rsidR="00061D25" w:rsidRPr="000B397B"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B397B">
              <w:rPr>
                <w:rFonts w:ascii="Times New Roman" w:hAnsi="Times New Roman" w:cs="Times New Roman"/>
                <w:color w:val="FFFFFF"/>
                <w:sz w:val="18"/>
              </w:rPr>
              <w:t>Mixed TDS (mg/L)</w:t>
            </w:r>
          </w:p>
        </w:tc>
      </w:tr>
      <w:tr w:rsidR="00061D25" w:rsidRPr="000B397B" w14:paraId="06EB8D1E" w14:textId="77777777" w:rsidTr="00B01F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4" w:type="dxa"/>
          </w:tcPr>
          <w:p w14:paraId="51470829" w14:textId="77777777" w:rsidR="00061D25" w:rsidRPr="000B397B" w:rsidRDefault="00000000">
            <w:pPr>
              <w:rPr>
                <w:rFonts w:ascii="Times New Roman" w:hAnsi="Times New Roman" w:cs="Times New Roman"/>
              </w:rPr>
            </w:pPr>
            <w:r w:rsidRPr="000B397B">
              <w:rPr>
                <w:rFonts w:ascii="Times New Roman" w:hAnsi="Times New Roman" w:cs="Times New Roman"/>
                <w:b w:val="0"/>
                <w:sz w:val="17"/>
              </w:rPr>
              <w:t>Low Flow</w:t>
            </w:r>
          </w:p>
        </w:tc>
        <w:tc>
          <w:tcPr>
            <w:tcW w:w="1704" w:type="dxa"/>
          </w:tcPr>
          <w:p w14:paraId="2D10DAAC" w14:textId="77777777" w:rsidR="00061D25" w:rsidRPr="000B397B"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B397B">
              <w:rPr>
                <w:rFonts w:ascii="Times New Roman" w:hAnsi="Times New Roman" w:cs="Times New Roman"/>
                <w:sz w:val="17"/>
              </w:rPr>
              <w:t>6</w:t>
            </w:r>
          </w:p>
        </w:tc>
        <w:tc>
          <w:tcPr>
            <w:tcW w:w="1704" w:type="dxa"/>
          </w:tcPr>
          <w:p w14:paraId="7AA1C0C9" w14:textId="77777777" w:rsidR="00061D25" w:rsidRPr="000B397B"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B397B">
              <w:rPr>
                <w:rFonts w:ascii="Times New Roman" w:hAnsi="Times New Roman" w:cs="Times New Roman"/>
                <w:sz w:val="17"/>
              </w:rPr>
              <w:t>550</w:t>
            </w:r>
          </w:p>
        </w:tc>
        <w:tc>
          <w:tcPr>
            <w:tcW w:w="1704" w:type="dxa"/>
          </w:tcPr>
          <w:p w14:paraId="2A6DEA17" w14:textId="77777777" w:rsidR="00061D25" w:rsidRPr="000B397B"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B397B">
              <w:rPr>
                <w:rFonts w:ascii="Times New Roman" w:hAnsi="Times New Roman" w:cs="Times New Roman"/>
                <w:sz w:val="17"/>
              </w:rPr>
              <w:t>15</w:t>
            </w:r>
          </w:p>
        </w:tc>
        <w:tc>
          <w:tcPr>
            <w:tcW w:w="1704" w:type="dxa"/>
          </w:tcPr>
          <w:p w14:paraId="55BA2CA0" w14:textId="77777777" w:rsidR="00061D25" w:rsidRPr="000B397B"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B397B">
              <w:rPr>
                <w:rFonts w:ascii="Times New Roman" w:hAnsi="Times New Roman" w:cs="Times New Roman"/>
                <w:sz w:val="17"/>
              </w:rPr>
              <w:t>680</w:t>
            </w:r>
          </w:p>
        </w:tc>
        <w:tc>
          <w:tcPr>
            <w:tcW w:w="1704" w:type="dxa"/>
          </w:tcPr>
          <w:p w14:paraId="624EDFC6" w14:textId="77777777" w:rsidR="00061D25" w:rsidRPr="000B397B"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B397B">
              <w:rPr>
                <w:rFonts w:ascii="Times New Roman" w:hAnsi="Times New Roman" w:cs="Times New Roman"/>
                <w:sz w:val="17"/>
              </w:rPr>
              <w:t>642.86</w:t>
            </w:r>
          </w:p>
        </w:tc>
      </w:tr>
      <w:tr w:rsidR="00061D25" w:rsidRPr="000B397B" w14:paraId="0B845E1C" w14:textId="77777777" w:rsidTr="00B01F1E">
        <w:tc>
          <w:tcPr>
            <w:cnfStyle w:val="001000000000" w:firstRow="0" w:lastRow="0" w:firstColumn="1" w:lastColumn="0" w:oddVBand="0" w:evenVBand="0" w:oddHBand="0" w:evenHBand="0" w:firstRowFirstColumn="0" w:firstRowLastColumn="0" w:lastRowFirstColumn="0" w:lastRowLastColumn="0"/>
            <w:tcW w:w="1704" w:type="dxa"/>
          </w:tcPr>
          <w:p w14:paraId="159177BE" w14:textId="77777777" w:rsidR="00061D25" w:rsidRPr="000B397B" w:rsidRDefault="00000000">
            <w:pPr>
              <w:rPr>
                <w:rFonts w:ascii="Times New Roman" w:hAnsi="Times New Roman" w:cs="Times New Roman"/>
              </w:rPr>
            </w:pPr>
            <w:r w:rsidRPr="000B397B">
              <w:rPr>
                <w:rFonts w:ascii="Times New Roman" w:hAnsi="Times New Roman" w:cs="Times New Roman"/>
                <w:b w:val="0"/>
                <w:sz w:val="17"/>
              </w:rPr>
              <w:t>Base Case</w:t>
            </w:r>
          </w:p>
        </w:tc>
        <w:tc>
          <w:tcPr>
            <w:tcW w:w="1704" w:type="dxa"/>
          </w:tcPr>
          <w:p w14:paraId="08AB5E36" w14:textId="77777777" w:rsidR="00061D25" w:rsidRPr="000B397B"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B397B">
              <w:rPr>
                <w:rFonts w:ascii="Times New Roman" w:hAnsi="Times New Roman" w:cs="Times New Roman"/>
                <w:sz w:val="17"/>
              </w:rPr>
              <w:t>6</w:t>
            </w:r>
          </w:p>
        </w:tc>
        <w:tc>
          <w:tcPr>
            <w:tcW w:w="1704" w:type="dxa"/>
          </w:tcPr>
          <w:p w14:paraId="3149FB36" w14:textId="77777777" w:rsidR="00061D25" w:rsidRPr="000B397B"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B397B">
              <w:rPr>
                <w:rFonts w:ascii="Times New Roman" w:hAnsi="Times New Roman" w:cs="Times New Roman"/>
                <w:sz w:val="17"/>
              </w:rPr>
              <w:t>600</w:t>
            </w:r>
          </w:p>
        </w:tc>
        <w:tc>
          <w:tcPr>
            <w:tcW w:w="1704" w:type="dxa"/>
          </w:tcPr>
          <w:p w14:paraId="7E3705EE" w14:textId="77777777" w:rsidR="00061D25" w:rsidRPr="000B397B"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B397B">
              <w:rPr>
                <w:rFonts w:ascii="Times New Roman" w:hAnsi="Times New Roman" w:cs="Times New Roman"/>
                <w:sz w:val="17"/>
              </w:rPr>
              <w:t>20</w:t>
            </w:r>
          </w:p>
        </w:tc>
        <w:tc>
          <w:tcPr>
            <w:tcW w:w="1704" w:type="dxa"/>
          </w:tcPr>
          <w:p w14:paraId="1FEB67F6" w14:textId="77777777" w:rsidR="00061D25" w:rsidRPr="000B397B"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B397B">
              <w:rPr>
                <w:rFonts w:ascii="Times New Roman" w:hAnsi="Times New Roman" w:cs="Times New Roman"/>
                <w:sz w:val="17"/>
              </w:rPr>
              <w:t>700</w:t>
            </w:r>
          </w:p>
        </w:tc>
        <w:tc>
          <w:tcPr>
            <w:tcW w:w="1704" w:type="dxa"/>
          </w:tcPr>
          <w:p w14:paraId="24FFFC72" w14:textId="77777777" w:rsidR="00061D25" w:rsidRPr="000B397B"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B397B">
              <w:rPr>
                <w:rFonts w:ascii="Times New Roman" w:hAnsi="Times New Roman" w:cs="Times New Roman"/>
                <w:sz w:val="17"/>
              </w:rPr>
              <w:t>676.92</w:t>
            </w:r>
          </w:p>
        </w:tc>
      </w:tr>
      <w:tr w:rsidR="00061D25" w:rsidRPr="000B397B" w14:paraId="288595A7" w14:textId="77777777" w:rsidTr="00B01F1E">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1704" w:type="dxa"/>
          </w:tcPr>
          <w:p w14:paraId="701B1097" w14:textId="77777777" w:rsidR="00061D25" w:rsidRPr="000B397B" w:rsidRDefault="00000000">
            <w:pPr>
              <w:rPr>
                <w:rFonts w:ascii="Times New Roman" w:hAnsi="Times New Roman" w:cs="Times New Roman"/>
              </w:rPr>
            </w:pPr>
            <w:r w:rsidRPr="000B397B">
              <w:rPr>
                <w:rFonts w:ascii="Times New Roman" w:hAnsi="Times New Roman" w:cs="Times New Roman"/>
                <w:b w:val="0"/>
                <w:sz w:val="17"/>
              </w:rPr>
              <w:t>High Flow</w:t>
            </w:r>
          </w:p>
        </w:tc>
        <w:tc>
          <w:tcPr>
            <w:tcW w:w="1704" w:type="dxa"/>
          </w:tcPr>
          <w:p w14:paraId="59586871" w14:textId="77777777" w:rsidR="00061D25" w:rsidRPr="000B397B"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B397B">
              <w:rPr>
                <w:rFonts w:ascii="Times New Roman" w:hAnsi="Times New Roman" w:cs="Times New Roman"/>
                <w:sz w:val="17"/>
              </w:rPr>
              <w:t>6</w:t>
            </w:r>
          </w:p>
        </w:tc>
        <w:tc>
          <w:tcPr>
            <w:tcW w:w="1704" w:type="dxa"/>
          </w:tcPr>
          <w:p w14:paraId="2FAB8CFF" w14:textId="77777777" w:rsidR="00061D25" w:rsidRPr="000B397B"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B397B">
              <w:rPr>
                <w:rFonts w:ascii="Times New Roman" w:hAnsi="Times New Roman" w:cs="Times New Roman"/>
                <w:sz w:val="17"/>
              </w:rPr>
              <w:t>650</w:t>
            </w:r>
          </w:p>
        </w:tc>
        <w:tc>
          <w:tcPr>
            <w:tcW w:w="1704" w:type="dxa"/>
          </w:tcPr>
          <w:p w14:paraId="634CD339" w14:textId="77777777" w:rsidR="00061D25" w:rsidRPr="000B397B"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B397B">
              <w:rPr>
                <w:rFonts w:ascii="Times New Roman" w:hAnsi="Times New Roman" w:cs="Times New Roman"/>
                <w:sz w:val="17"/>
              </w:rPr>
              <w:t>25</w:t>
            </w:r>
          </w:p>
        </w:tc>
        <w:tc>
          <w:tcPr>
            <w:tcW w:w="1704" w:type="dxa"/>
          </w:tcPr>
          <w:p w14:paraId="15502194" w14:textId="77777777" w:rsidR="00061D25" w:rsidRPr="000B397B"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B397B">
              <w:rPr>
                <w:rFonts w:ascii="Times New Roman" w:hAnsi="Times New Roman" w:cs="Times New Roman"/>
                <w:sz w:val="17"/>
              </w:rPr>
              <w:t>720</w:t>
            </w:r>
          </w:p>
        </w:tc>
        <w:tc>
          <w:tcPr>
            <w:tcW w:w="1704" w:type="dxa"/>
          </w:tcPr>
          <w:p w14:paraId="3E24E583" w14:textId="77777777" w:rsidR="00061D25" w:rsidRPr="000B397B"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B397B">
              <w:rPr>
                <w:rFonts w:ascii="Times New Roman" w:hAnsi="Times New Roman" w:cs="Times New Roman"/>
                <w:sz w:val="17"/>
              </w:rPr>
              <w:t>706.45</w:t>
            </w:r>
          </w:p>
        </w:tc>
      </w:tr>
    </w:tbl>
    <w:p w14:paraId="27CAF0F3" w14:textId="77777777" w:rsidR="00061D25" w:rsidRPr="000B397B" w:rsidRDefault="00000000">
      <w:pPr>
        <w:pStyle w:val="Heading1"/>
        <w:rPr>
          <w:rFonts w:ascii="Times New Roman" w:hAnsi="Times New Roman" w:cs="Times New Roman"/>
        </w:rPr>
      </w:pPr>
      <w:r w:rsidRPr="000B397B">
        <w:rPr>
          <w:rFonts w:ascii="Times New Roman" w:hAnsi="Times New Roman" w:cs="Times New Roman"/>
        </w:rPr>
        <w:lastRenderedPageBreak/>
        <w:t>What This Means</w:t>
      </w:r>
    </w:p>
    <w:p w14:paraId="72E080E5" w14:textId="77777777" w:rsidR="00B01F1E" w:rsidRPr="000B397B" w:rsidRDefault="00B01F1E" w:rsidP="00B01F1E">
      <w:pPr>
        <w:rPr>
          <w:rFonts w:ascii="Times New Roman" w:hAnsi="Times New Roman" w:cs="Times New Roman"/>
        </w:rPr>
      </w:pPr>
      <w:r w:rsidRPr="000B397B">
        <w:rPr>
          <w:rFonts w:ascii="Times New Roman" w:hAnsi="Times New Roman" w:cs="Times New Roman"/>
        </w:rPr>
        <w:t>These findings imply that care must be taken when monitoring the water quality since the levels of dissolved solids and sulfate tend to increase within the various sites. However, this does not imply that the project should not proceed; rather, it implies that the water quality effects should be considered beforehand.</w:t>
      </w:r>
    </w:p>
    <w:p w14:paraId="2F8A667B" w14:textId="17899E69" w:rsidR="00061D25" w:rsidRPr="000B397B" w:rsidRDefault="00061D25">
      <w:pPr>
        <w:rPr>
          <w:rFonts w:ascii="Times New Roman" w:hAnsi="Times New Roman" w:cs="Times New Roman"/>
        </w:rPr>
      </w:pPr>
    </w:p>
    <w:p w14:paraId="6B8A4C1B" w14:textId="77777777" w:rsidR="00061D25" w:rsidRPr="000B397B" w:rsidRDefault="00000000">
      <w:pPr>
        <w:pStyle w:val="Heading1"/>
        <w:rPr>
          <w:rFonts w:ascii="Times New Roman" w:hAnsi="Times New Roman" w:cs="Times New Roman"/>
        </w:rPr>
      </w:pPr>
      <w:r w:rsidRPr="000B397B">
        <w:rPr>
          <w:rFonts w:ascii="Times New Roman" w:hAnsi="Times New Roman" w:cs="Times New Roman"/>
        </w:rPr>
        <w:t>Important Limits</w:t>
      </w:r>
    </w:p>
    <w:p w14:paraId="33969654" w14:textId="26CF0016" w:rsidR="00061D25" w:rsidRPr="000B397B" w:rsidRDefault="00B01F1E">
      <w:pPr>
        <w:rPr>
          <w:rFonts w:ascii="Times New Roman" w:hAnsi="Times New Roman" w:cs="Times New Roman"/>
        </w:rPr>
      </w:pPr>
      <w:r w:rsidRPr="000B397B">
        <w:rPr>
          <w:rFonts w:ascii="Times New Roman" w:hAnsi="Times New Roman" w:cs="Times New Roman"/>
        </w:rPr>
        <w:t xml:space="preserve">In this case study, selected sites and water quality parameters are used. Actual water distribution networks might have complications due to variations of flow, mixing, season, and weather conditions, affecting the quality of water. Additional data and engineering studies will enhance the reliability of </w:t>
      </w:r>
      <w:proofErr w:type="gramStart"/>
      <w:r w:rsidRPr="000B397B">
        <w:rPr>
          <w:rFonts w:ascii="Times New Roman" w:hAnsi="Times New Roman" w:cs="Times New Roman"/>
        </w:rPr>
        <w:t>the final conclusion</w:t>
      </w:r>
      <w:proofErr w:type="gramEnd"/>
      <w:r w:rsidR="00000000" w:rsidRPr="000B397B">
        <w:rPr>
          <w:rFonts w:ascii="Times New Roman" w:hAnsi="Times New Roman" w:cs="Times New Roman"/>
        </w:rPr>
        <w:t>.</w:t>
      </w:r>
    </w:p>
    <w:sectPr w:rsidR="00061D25" w:rsidRPr="000B397B" w:rsidSect="00034616">
      <w:headerReference w:type="default" r:id="rId8"/>
      <w:footerReference w:type="default" r:id="rId9"/>
      <w:pgSz w:w="12240" w:h="15840"/>
      <w:pgMar w:top="1008" w:right="1008" w:bottom="1008"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B5DE1B" w14:textId="77777777" w:rsidR="00E9726F" w:rsidRDefault="00E9726F" w:rsidP="0076327C">
      <w:pPr>
        <w:spacing w:after="0" w:line="240" w:lineRule="auto"/>
      </w:pPr>
      <w:r>
        <w:separator/>
      </w:r>
    </w:p>
  </w:endnote>
  <w:endnote w:type="continuationSeparator" w:id="0">
    <w:p w14:paraId="1548AD5C" w14:textId="77777777" w:rsidR="00E9726F" w:rsidRDefault="00E9726F" w:rsidP="007632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iberation Sans">
    <w:altName w:val="Arial"/>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7157197"/>
      <w:docPartObj>
        <w:docPartGallery w:val="Page Numbers (Bottom of Page)"/>
        <w:docPartUnique/>
      </w:docPartObj>
    </w:sdtPr>
    <w:sdtContent>
      <w:sdt>
        <w:sdtPr>
          <w:id w:val="1728636285"/>
          <w:docPartObj>
            <w:docPartGallery w:val="Page Numbers (Top of Page)"/>
            <w:docPartUnique/>
          </w:docPartObj>
        </w:sdtPr>
        <w:sdtContent>
          <w:p w14:paraId="5EE5ED92" w14:textId="7B23443A" w:rsidR="000B397B" w:rsidRDefault="000B397B">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48887E45" w14:textId="77777777" w:rsidR="000B397B" w:rsidRDefault="000B397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303C2E" w14:textId="77777777" w:rsidR="00E9726F" w:rsidRDefault="00E9726F" w:rsidP="0076327C">
      <w:pPr>
        <w:spacing w:after="0" w:line="240" w:lineRule="auto"/>
      </w:pPr>
      <w:r>
        <w:separator/>
      </w:r>
    </w:p>
  </w:footnote>
  <w:footnote w:type="continuationSeparator" w:id="0">
    <w:p w14:paraId="2489E869" w14:textId="77777777" w:rsidR="00E9726F" w:rsidRDefault="00E9726F" w:rsidP="007632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AD3FF" w14:textId="38A851A0" w:rsidR="0076327C" w:rsidRDefault="0076327C">
    <w:pPr>
      <w:pStyle w:val="Header"/>
    </w:pPr>
    <w:r>
      <w:rPr>
        <w:noProof/>
      </w:rPr>
      <mc:AlternateContent>
        <mc:Choice Requires="wps">
          <w:drawing>
            <wp:anchor distT="0" distB="0" distL="118745" distR="118745" simplePos="0" relativeHeight="251659264" behindDoc="1" locked="0" layoutInCell="1" allowOverlap="0" wp14:anchorId="2C502EC2" wp14:editId="1B1E94D5">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50039" cy="270457"/>
              <wp:effectExtent l="0" t="0" r="0" b="7620"/>
              <wp:wrapSquare wrapText="bothSides"/>
              <wp:docPr id="197" name="Rectangle 200"/>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b/>
                              <w:color w:val="1F4E79"/>
                              <w:sz w:val="36"/>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48C05E1B" w14:textId="021F9A92" w:rsidR="0076327C" w:rsidRDefault="0076327C">
                              <w:pPr>
                                <w:pStyle w:val="Header"/>
                                <w:tabs>
                                  <w:tab w:val="clear" w:pos="4680"/>
                                  <w:tab w:val="clear" w:pos="9360"/>
                                </w:tabs>
                                <w:jc w:val="center"/>
                                <w:rPr>
                                  <w:caps/>
                                  <w:color w:val="FFFFFF" w:themeColor="background1"/>
                                </w:rPr>
                              </w:pPr>
                              <w:r w:rsidRPr="0076327C">
                                <w:rPr>
                                  <w:b/>
                                  <w:color w:val="1F4E79"/>
                                  <w:sz w:val="36"/>
                                </w:rPr>
                                <w:t>Non-Technical Executive Summary</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2C502EC2" id="Rectangle 200" o:spid="_x0000_s1026"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pkd57twA&#10;AAAEAQAADwAAAGRycy9kb3ducmV2LnhtbEyPT0vDQBDF74LfYRnBi9hNq6YasykiCIKo2D/gcZod&#10;k+DubMhu2/jtHb3o5cHjDe/9plyM3qk9DbELbGA6yUAR18F23BhYrx7Or0HFhGzRBSYDXxRhUR0f&#10;lVjYcOA32i9To6SEY4EG2pT6QutYt+QxTkJPLNlHGDwmsUOj7YAHKfdOz7Is1x47loUWe7pvqf5c&#10;7rwB//T8nlzXt+F1s76avjzm+dkGjTk9Ge9uQSUa098x/OALOlTCtA07tlE5A/JI+lXJbi7mYrcG&#10;Lmc56KrU/+GrbwAAAP//AwBQSwECLQAUAAYACAAAACEAtoM4kv4AAADhAQAAEwAAAAAAAAAAAAAA&#10;AAAAAAAAW0NvbnRlbnRfVHlwZXNdLnhtbFBLAQItABQABgAIAAAAIQA4/SH/1gAAAJQBAAALAAAA&#10;AAAAAAAAAAAAAC8BAABfcmVscy8ucmVsc1BLAQItABQABgAIAAAAIQAYDxPkeAIAAG0FAAAOAAAA&#10;AAAAAAAAAAAAAC4CAABkcnMvZTJvRG9jLnhtbFBLAQItABQABgAIAAAAIQCmR3nu3AAAAAQBAAAP&#10;AAAAAAAAAAAAAAAAANIEAABkcnMvZG93bnJldi54bWxQSwUGAAAAAAQABADzAAAA2wUAAAAA&#10;" o:allowoverlap="f" fillcolor="#4f81bd [3204]" stroked="f" strokeweight="2pt">
              <v:textbox style="mso-fit-shape-to-text:t">
                <w:txbxContent>
                  <w:sdt>
                    <w:sdtPr>
                      <w:rPr>
                        <w:b/>
                        <w:color w:val="1F4E79"/>
                        <w:sz w:val="36"/>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48C05E1B" w14:textId="021F9A92" w:rsidR="0076327C" w:rsidRDefault="0076327C">
                        <w:pPr>
                          <w:pStyle w:val="Header"/>
                          <w:tabs>
                            <w:tab w:val="clear" w:pos="4680"/>
                            <w:tab w:val="clear" w:pos="9360"/>
                          </w:tabs>
                          <w:jc w:val="center"/>
                          <w:rPr>
                            <w:caps/>
                            <w:color w:val="FFFFFF" w:themeColor="background1"/>
                          </w:rPr>
                        </w:pPr>
                        <w:r w:rsidRPr="0076327C">
                          <w:rPr>
                            <w:b/>
                            <w:color w:val="1F4E79"/>
                            <w:sz w:val="36"/>
                          </w:rPr>
                          <w:t>Non-Technical Executive Summary</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07451686">
    <w:abstractNumId w:val="8"/>
  </w:num>
  <w:num w:numId="2" w16cid:durableId="1086072370">
    <w:abstractNumId w:val="6"/>
  </w:num>
  <w:num w:numId="3" w16cid:durableId="83234351">
    <w:abstractNumId w:val="5"/>
  </w:num>
  <w:num w:numId="4" w16cid:durableId="958950994">
    <w:abstractNumId w:val="4"/>
  </w:num>
  <w:num w:numId="5" w16cid:durableId="1440180023">
    <w:abstractNumId w:val="7"/>
  </w:num>
  <w:num w:numId="6" w16cid:durableId="1569807692">
    <w:abstractNumId w:val="3"/>
  </w:num>
  <w:num w:numId="7" w16cid:durableId="1215119369">
    <w:abstractNumId w:val="2"/>
  </w:num>
  <w:num w:numId="8" w16cid:durableId="1615820496">
    <w:abstractNumId w:val="1"/>
  </w:num>
  <w:num w:numId="9" w16cid:durableId="6300150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1D25"/>
    <w:rsid w:val="000B397B"/>
    <w:rsid w:val="00105249"/>
    <w:rsid w:val="0015074B"/>
    <w:rsid w:val="0029639D"/>
    <w:rsid w:val="00326F90"/>
    <w:rsid w:val="0076327C"/>
    <w:rsid w:val="007E2F94"/>
    <w:rsid w:val="00AA1D8D"/>
    <w:rsid w:val="00B01F1E"/>
    <w:rsid w:val="00B47730"/>
    <w:rsid w:val="00CB0664"/>
    <w:rsid w:val="00E9726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CD27345"/>
  <w14:defaultImageDpi w14:val="300"/>
  <w15:docId w15:val="{2246B3F3-CB70-43FB-BFB9-12E62537CC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Liberation Sans" w:eastAsia="Liberation Sans" w:hAnsi="Liberation San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5Dark">
    <w:name w:val="Grid Table 5 Dark"/>
    <w:basedOn w:val="TableNormal"/>
    <w:uiPriority w:val="50"/>
    <w:rsid w:val="00B01F1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359</Words>
  <Characters>2051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Non-Technical Executive Summary</dc:title>
  <dc:subject/>
  <dc:creator>python-docx</dc:creator>
  <cp:keywords/>
  <dc:description>generated by python-docx</dc:description>
  <cp:lastModifiedBy>Abdi Aden</cp:lastModifiedBy>
  <cp:revision>3</cp:revision>
  <dcterms:created xsi:type="dcterms:W3CDTF">2026-05-08T18:06:00Z</dcterms:created>
  <dcterms:modified xsi:type="dcterms:W3CDTF">2026-05-08T18:06:00Z</dcterms:modified>
  <cp:category/>
</cp:coreProperties>
</file>