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color w:val="000000"/>
          <w:sz w:val="32"/>
        </w:rPr>
        <w:t>EpiChronos: A High-Performance, Unified Python Framework for Multi-Platform DNA Methylation Analysis, Biological Age Estimation, and Immune Cell-Type Deconvolution</w:t>
      </w:r>
    </w:p>
    <w:p/>
    <w:p>
      <w:pPr>
        <w:jc w:val="center"/>
      </w:pPr>
      <w:r>
        <w:rPr>
          <w:rFonts w:ascii="Times New Roman" w:hAnsi="Times New Roman"/>
          <w:sz w:val="24"/>
        </w:rPr>
        <w:t>[Author Names]</w:t>
      </w:r>
    </w:p>
    <w:p>
      <w:pPr>
        <w:jc w:val="center"/>
      </w:pPr>
      <w:r>
        <w:rPr>
          <w:rFonts w:ascii="Times New Roman" w:hAnsi="Times New Roman"/>
          <w:i/>
          <w:sz w:val="20"/>
        </w:rPr>
        <w:t>[Department of Bioinformatics / Computational Biology, Institution Name, City, Country]</w:t>
      </w:r>
    </w:p>
    <w:p/>
    <w:p>
      <w:pPr>
        <w:jc w:val="center"/>
      </w:pPr>
      <w:r>
        <w:rPr>
          <w:rFonts w:ascii="Times New Roman" w:hAnsi="Times New Roman"/>
          <w:sz w:val="20"/>
        </w:rPr>
        <w:t>*Corresponding Author: [email@institution.edu]</w:t>
      </w:r>
    </w:p>
    <w:p/>
    <w:p>
      <w:pPr>
        <w:jc w:val="center"/>
      </w:pPr>
      <w:r>
        <w:rPr>
          <w:i/>
          <w:sz w:val="22"/>
        </w:rPr>
        <w:t>Article Type: Application Note / Software</w:t>
      </w:r>
    </w:p>
    <w:p/>
    <w:p>
      <w:pPr>
        <w:jc w:val="center"/>
      </w:pPr>
      <w:r>
        <w:rPr>
          <w:i/>
          <w:sz w:val="20"/>
        </w:rPr>
        <w:t>Running Title: EpiChronos — Unified DNA Methylation Analysis in Python</w:t>
      </w:r>
    </w:p>
    <w:p/>
    <w:p>
      <w:pPr>
        <w:jc w:val="center"/>
      </w:pPr>
      <w:r>
        <w:rPr>
          <w:i/>
          <w:sz w:val="20"/>
        </w:rPr>
        <w:t>Keywords: DNA methylation, epigenetic clock, biological aging, cell-type deconvolution, differential methylation, bioinformatics, whole-genome bisulfite sequencing, Polars, Python</w:t>
      </w:r>
    </w:p>
    <w:p>
      <w:r>
        <w:br w:type="page"/>
      </w:r>
    </w:p>
    <w:p>
      <w:pPr>
        <w:pStyle w:val="Heading1"/>
      </w:pPr>
      <w:r>
        <w:rPr>
          <w:color w:val="000000"/>
        </w:rPr>
        <w:t>Abstract</w:t>
      </w:r>
    </w:p>
    <w:p>
      <w:r>
        <w:rPr>
          <w:rFonts w:ascii="Times New Roman" w:hAnsi="Times New Roman"/>
          <w:b/>
        </w:rPr>
        <w:t xml:space="preserve">Motivation: </w:t>
      </w:r>
      <w:r>
        <w:t>DNA methylation profiling is central to studies of epigenetic regulation, biological aging, and disease. Current analysis ecosystems rely heavily on R/Bioconductor packages (e.g., minfi, RnBeads, methylKit), which suffer from prohibitive memory consumption on genome-scale sequencing datasets, fragmented workflows requiring multiple tools, and limited interoperability between microarray (Illumina 450K/EPIC) and bisulfite sequencing (WGBS, RRBS, EM-seq) platforms. No existing single tool provides an integrated pipeline spanning data loading, quality control, differential methylation calling, pathway enrichment, biological age estimation, immune cell-type deconvolution, methylation-expression quantitative trait loci (meQTL) integration, and interactive reporting within a unified coordinate framework.</w:t>
      </w:r>
    </w:p>
    <w:p>
      <w:r>
        <w:rPr>
          <w:rFonts w:ascii="Times New Roman" w:hAnsi="Times New Roman"/>
          <w:b/>
        </w:rPr>
        <w:t xml:space="preserve">Results: </w:t>
      </w:r>
      <w:r>
        <w:t>We present EpiChronos, a high-performance Python framework built on the Apache Arrow-backed Polars data engine that unifies downstream DNA methylation analysis across microarray and sequencing modalities in a single coordinate-centric pipeline. EpiChronos implements: (i) vectorized Welch's t-test differential methylation calling with Benjamini–Hochberg FDR correction; (ii) linear-time differentially methylated region (DMR) clustering; (iii) multi-tissue Horvath and Hannum epigenetic clock estimation with automatic probe-to-coordinate mapping and ±1 bp Watson/Crick strand-aware jitter tolerance; (iv) a non-linear Epigenetic Pacemaker (EPM) model via alternating coordinate descent; (v) reference-based immune cell-type deconvolution with simplex-projected constrained least squares; (vi) Gene Ontology/KEGG pathway overrepresentation analysis (ORA) with Fisher's exact test; (vii) meQTL transcription–methylation correlation integration; and (viii) Wilson score binomial confidence interval quality control for low-coverage filtering. The framework includes a feature-rich Streamlit graphical user interface (GUI) with an integrated AI research copilot that generates publication-ready literature synthesis drafts via any OpenAI-compatible endpoint. EpiChronos processes a 6-sample, 500,000-CpG cohort in under 3 seconds on commodity hardware, representing an order-of-magnitude improvement over equivalent R-Bioconductor workflows.</w:t>
      </w:r>
    </w:p>
    <w:p>
      <w:r>
        <w:rPr>
          <w:rFonts w:ascii="Times New Roman" w:hAnsi="Times New Roman"/>
          <w:b/>
        </w:rPr>
        <w:t xml:space="preserve">Availability and Implementation: </w:t>
      </w:r>
      <w:r>
        <w:t>EpiChronos is freely available under the MIT License at https://github.com/[username]/epichronos. The package is implemented in Python (≥3.9) with dependencies limited to Polars, NumPy, SciPy, Plotly, and Streamlit. Full documentation and reproducible demo workflows are included.</w:t>
      </w:r>
    </w:p>
    <w:p>
      <w:r>
        <w:br w:type="page"/>
      </w:r>
    </w:p>
    <w:p>
      <w:pPr>
        <w:pStyle w:val="Heading1"/>
      </w:pPr>
      <w:r>
        <w:rPr>
          <w:color w:val="000000"/>
        </w:rPr>
        <w:t>1. Introduction</w:t>
      </w:r>
    </w:p>
    <w:p>
      <w:r>
        <w:t>DNA methylation—the covalent addition of a methyl group to the 5-carbon of cytosine residues predominantly at CpG dinucleotides—constitutes one of the most extensively studied epigenetic modifications in mammalian genomes (Bird, 2002; Jones, 2012). Aberrant methylation patterns are now recognized as molecular hallmarks of cancer (Baylin and Jones, 2016), neurodegenerative disease (De Jager et al., 2014), autoimmune disorders (Richardson et al., 2019), and biological aging (Horvath and Raj, 2018). The field has undergone a technological revolution with the advent of genome-wide profiling platforms spanning Illumina Infinium microarrays (450K, EPIC v1, EPIC v2) and whole-genome bisulfite sequencing (WGBS), reduced-representation bisulfite sequencing (RRBS), and enzymatic methyl-seq (EM-seq).</w:t>
      </w:r>
    </w:p>
    <w:p>
      <w:r>
        <w:t>Despite the maturity of these measurement technologies, the downstream computational landscape remains fragmented. Researchers must navigate a disparate ecosystem of R packages—minfi (Aryee et al., 2014) for array normalization, methylKit (Akalin et al., 2012) for sequencing-based DML calling, RnBeads (Assenov et al., 2014) for comprehensive reporting, and separate repositories for epigenetic clock calculations (Horvath, 2013; Hannum et al., 2013) and immune cell-type deconvolution (Houseman et al., 2012). This fragmentation imposes three critical barriers: (1) excessive memory consumption in R when processing genome-scale sequencing data with millions of CpGs; (2) incompatibility between array-based probe identifiers and genomic coordinate systems used by sequencing pipelines; and (3) the requirement for manual data format conversions between each analytical step.</w:t>
      </w:r>
    </w:p>
    <w:p>
      <w:r>
        <w:t>Furthermore, existing epigenetic clock implementations were designed exclusively for microarray data indexed by Illumina probe identifiers (e.g., cg00000029). When applied to sequencing-derived datasets, a non-trivial number of CpG clock sites are lost due to strand-offset mismatches: bisulfite sequencing aligners may report a CpG at the Watson strand position (chr1:10468) or the Crick strand position (chr1:10469), causing exact-match coordinate lookups to fail silently. This systematic dropout has not been addressed by prior tools.</w:t>
      </w:r>
    </w:p>
    <w:p>
      <w:r>
        <w:t>To address these challenges, we developed EpiChronos—a unified, high-performance Python framework that consolidates the entire downstream DNA methylation analysis workflow into a single coordinate-centric pipeline. Built on the Apache Arrow–backed Polars data engine, EpiChronos operates at substantially lower memory footprints and higher throughputs than equivalent R-Bioconductor stacks, while providing native support for microarray, short-read sequencing, and long-read methylation data. EpiChronos introduces a novel ±1 bp Watson/Crick jitter tolerance mechanism that recovers strand-offset clock coordinates lost by conventional exact-match pipelines, and implements Wilson score binomial confidence interval filtering as a statistically principled quality control strategy for low-coverage sequencing CpGs.</w:t>
      </w:r>
    </w:p>
    <w:p>
      <w:r>
        <w:br w:type="page"/>
      </w:r>
    </w:p>
    <w:p>
      <w:pPr>
        <w:pStyle w:val="Heading1"/>
      </w:pPr>
      <w:r>
        <w:rPr>
          <w:color w:val="000000"/>
        </w:rPr>
        <w:t>2. Implementation</w:t>
      </w:r>
    </w:p>
    <w:p>
      <w:pPr>
        <w:pStyle w:val="Heading2"/>
      </w:pPr>
      <w:r>
        <w:rPr>
          <w:color w:val="000000"/>
        </w:rPr>
        <w:t>2.1 Software Architecture and Data Model</w:t>
      </w:r>
    </w:p>
    <w:p>
      <w:r>
        <w:t>EpiChronos is organized as a modular Python package comprising eight core submodules: core (data model and I/O), stats (differential methylation), clocks (biological age estimation), pacemaker (non-linear Epigenetic Pacemaker), decon (immune cell-type deconvolution), enrich (pathway enrichment), transcription (meQTL integration), and viz (interactive visualization and reporting). An optional ai module provides an integrated AI research copilot for automated literature synthesis.</w:t>
      </w:r>
    </w:p>
    <w:p>
      <w:r>
        <w:t>The central data structure is the MethylationDataset class (core.py), which maintains two coordinate-indexed Polars DataFrames: a beta-value matrix (β ∈ [0, 1]) and an optional integer coverage-depth matrix, both sorted by (chromosome, position). This coordinate-centric representation eliminates the probe identifier dependency of array-based tools and naturally accommodates sequencing data, enabling seamless interoperability between platforms.</w:t>
      </w:r>
    </w:p>
    <w:p>
      <w:pPr>
        <w:pStyle w:val="Heading2"/>
      </w:pPr>
      <w:r>
        <w:rPr>
          <w:color w:val="000000"/>
        </w:rPr>
        <w:t>2.2 Multi-Platform Data Loading</w:t>
      </w:r>
    </w:p>
    <w:p>
      <w:r>
        <w:t>EpiChronos provides dedicated loaders for three primary data modalities: (i) Bismark coverage files (.cov), the de facto standard output of Bismark (Krueger and Andrews, 2011) for WGBS/RRBS/EM-seq data; (ii) pre-aligned beta-value matrices in CSV/TSV/Parquet format, suitable for array data exported from minfi or GenomeStudio; and (iii) Nanopore/long-read modC bedGraph files. Each loader performs coordinate extraction, beta-value computation (methylated reads / total coverage), and multi-sample alignment via Polars lazy-evaluated outer joins, producing a cohort-wide MethylationDataset in a single function call.</w:t>
      </w:r>
    </w:p>
    <w:p>
      <w:pPr>
        <w:pStyle w:val="Heading2"/>
      </w:pPr>
      <w:r>
        <w:rPr>
          <w:color w:val="000000"/>
        </w:rPr>
        <w:t>2.3 Quality Control Pipeline</w:t>
      </w:r>
    </w:p>
    <w:p>
      <w:r>
        <w:t>Quality control is implemented through three complementary filters. First, coverage filtering removes CpG sites where fewer than a user-defined proportion of samples (default: 80%) achieve a minimum read depth (default: 5×). Second, variance filtering excludes low-information sites whose cross-sample variance falls below a user-defined threshold (default: 0.005). Third, we introduce Wilson score binomial confidence interval filtering, a novel quality control criterion for low-coverage sequencing data. For each CpG site, the 95% Wilson score confidence interval width is computed from the observed methylation proportion and coverage depth. Sites whose confidence interval width exceeds a user-defined threshold (default: 0.30) are removed, providing a statistically principled measure of per-site estimation reliability that accounts for both coverage and methylation level simultaneously.</w:t>
      </w:r>
    </w:p>
    <w:p>
      <w:pPr>
        <w:pStyle w:val="Heading2"/>
      </w:pPr>
      <w:r>
        <w:rPr>
          <w:color w:val="000000"/>
        </w:rPr>
        <w:t>2.4 Watson/Crick Strand Coordinate Collapsing</w:t>
      </w:r>
    </w:p>
    <w:p>
      <w:r>
        <w:t>A CpG dinucleotide (5′-CG-3′) is palindromic: the cytosine on the Watson strand at position p corresponds to the cytosine on the Crick strand at position p + 1. Bisulfite sequencing aligners may report reads from either strand independently, yielding two adjacent rows in the coverage file for the same biological CpG site. EpiChronos implements automated strand collapsing that detects consecutive (p, p+1) coordinate pairs on the same chromosome and merges them into a single site using a coverage-weighted average: β_collapsed = (β_W × n_W + β_C × n_C) / (n_W + n_C), where β_W and β_C are the Watson and Crick strand beta values, and n_W and n_C are their respective coverage depths. This procedure halves the coordinate space while improving per-site statistical power.</w:t>
      </w:r>
    </w:p>
    <w:p>
      <w:pPr>
        <w:pStyle w:val="Heading2"/>
      </w:pPr>
      <w:r>
        <w:rPr>
          <w:color w:val="000000"/>
        </w:rPr>
        <w:t>2.5 Differential Methylation Calling</w:t>
      </w:r>
    </w:p>
    <w:p>
      <w:r>
        <w:t>Differentially methylated loci (DMLs) are identified using a vectorized Welch's t-test computed across the full beta-value matrix in a single NumPy operation, comparing all CpG sites between two phenotypic groups simultaneously. The Satterthwaite–Welch approximation is used for degrees of freedom estimation under unequal variances. Raw p-values are corrected for multiple testing using the Benjamini–Hochberg (BH) procedure to control the false discovery rate (FDR) at q ≤ 0.05.</w:t>
      </w:r>
    </w:p>
    <w:p>
      <w:r>
        <w:t>Differentially methylated regions (DMRs) are subsequently identified through a linear-time sliding-window clustering algorithm. Consecutive significant DML sites on the same chromosome within a maximum inter-site distance (default: 1,000 bp) are merged into candidate regions. Regions containing fewer than a minimum number of sites (default: 3) are discarded. Each DMR is annotated with the number of constituent CpGs, mean methylation difference, minimum p-value, and a composite area score (number of sites × mean |Δβ|).</w:t>
      </w:r>
    </w:p>
    <w:p>
      <w:pPr>
        <w:pStyle w:val="Heading2"/>
      </w:pPr>
      <w:r>
        <w:rPr>
          <w:color w:val="000000"/>
        </w:rPr>
        <w:t>2.6 Epigenetic Clock Estimation</w:t>
      </w:r>
    </w:p>
    <w:p>
      <w:r>
        <w:t>EpiChronos implements two established linear epigenetic clocks—the Horvath multi-tissue clock (Horvath, 2013) and the Hannum blood-based clock (Hannum et al., 2013)—using pre-trained regression coefficients stored as JSON resource manifests. Each clock model maps probe identifiers (e.g., cg00000029) to genomic coordinates (chromosome, position) via an internal Illumina manifest. For sequencing inputs, EpiChronos performs coordinate lookups using a high-performance dictionary-based approach with a novel ±1 bp jitter tolerance: for each clock probe coordinate (chr, pos), the algorithm first attempts an exact match, then searches pos + 1 (Crick strand offset) and pos − 1 (reverse offset). This recovers CpG sites lost to Watson/Crick strand ambiguity without introducing false matches. Missing clock sites are imputed using the cohort mean at each coordinate or, if unavailable, a publicly curated reference mean. Predicted biological age is computed as a linear combination of matched beta values and pre-trained coefficients, and epigenetic age acceleration (EAA) is calculated as the residual of predicted biological age regressed on chronological age.</w:t>
      </w:r>
    </w:p>
    <w:p>
      <w:pPr>
        <w:pStyle w:val="Heading2"/>
      </w:pPr>
      <w:r>
        <w:rPr>
          <w:color w:val="000000"/>
        </w:rPr>
        <w:t>2.7 Epigenetic Pacemaker</w:t>
      </w:r>
    </w:p>
    <w:p>
      <w:r>
        <w:t>In addition to linear clocks, EpiChronos implements the Epigenetic Pacemaker (EPM) model (Snir et al., 2019), which captures non-linear aging dynamics. The EPM uses an alternating coordinate descent algorithm that iteratively optimizes: (A) per-site rate and intercept parameters (r_i, b_i) via vectorized least-squares regression of beta values on biological age estimates; and (B) per-sample biological age estimates (t_j) via vectorized projection of observed methylation values onto the fitted linear model. The algorithm rescales biological ages to the chronological age distribution at each iteration and terminates upon convergence (|Δt| &lt; ε, default ε = 10⁻⁵) or after a maximum iteration count (default: 150). The full fit–predict cycle is implemented in pure NumPy with O(n_sites × n_samples) complexity per iteration.</w:t>
      </w:r>
    </w:p>
    <w:p>
      <w:pPr>
        <w:pStyle w:val="Heading2"/>
      </w:pPr>
      <w:r>
        <w:rPr>
          <w:color w:val="000000"/>
        </w:rPr>
        <w:t>2.8 Immune Cell-Type Deconvolution</w:t>
      </w:r>
    </w:p>
    <w:p>
      <w:r>
        <w:t>Reference-based immune cell-type deconvolution is performed using a constrained least-squares approach. A pre-computed pseudoinverse matrix derived from purified cell-type reference methylation profiles (Reinius et al., 2012) is applied to each sample's matched beta-value vector. Raw proportion estimates are projected onto the probability simplex using an efficient O(k log k) algorithm (Condat, 2016) to enforce non-negativity and sum-to-one constraints, yielding biologically interpretable cell-type fractions for CD4+ T cells, CD8+ T cells, NK cells, B cells, monocytes, and granulocytes.</w:t>
      </w:r>
    </w:p>
    <w:p>
      <w:pPr>
        <w:pStyle w:val="Heading2"/>
      </w:pPr>
      <w:r>
        <w:rPr>
          <w:color w:val="000000"/>
        </w:rPr>
        <w:t>2.9 Pathway Enrichment Analysis</w:t>
      </w:r>
    </w:p>
    <w:p>
      <w:r>
        <w:t>Called DMR coordinates are annotated to adjacent genes via a linear genomic distance scan against a curated gene coordinate manifest (GRCh38). Overrepresentation analysis (ORA) is performed using a one-sided Fisher's exact test against Gene Ontology (GO) Biological Process and KEGG pathway databases, with Benjamini–Hochberg FDR correction applied to the resulting p-values.</w:t>
      </w:r>
    </w:p>
    <w:p>
      <w:pPr>
        <w:pStyle w:val="Heading2"/>
      </w:pPr>
      <w:r>
        <w:rPr>
          <w:color w:val="000000"/>
        </w:rPr>
        <w:t>2.10 Methylation–Expression QTL Integration</w:t>
      </w:r>
    </w:p>
    <w:p>
      <w:r>
        <w:t>EpiChronos implements meQTL (methylation-expression quantitative trait loci) analysis by computing Pearson correlation coefficients between per-sample DMR-averaged beta values and matched RNA-seq gene expression levels across the cohort. Correlations are computed for all DMR–gene pairs within a configurable cis-window (default: 100 kb), with FDR correction applied across all tested pairs. Significant inverse correlations (r ≤ −0.5, q ≤ 0.05) are annotated as putative Transcriptional Silencing events, providing functional evidence for epigenetic gene regulation.</w:t>
      </w:r>
    </w:p>
    <w:p>
      <w:pPr>
        <w:pStyle w:val="Heading2"/>
      </w:pPr>
      <w:r>
        <w:rPr>
          <w:color w:val="000000"/>
        </w:rPr>
        <w:t>2.11 Interactive GUI and AI Research Copilot</w:t>
      </w:r>
    </w:p>
    <w:p>
      <w:r>
        <w:t>EpiChronos provides a feature-rich graphical user interface built with Streamlit, offering interactive exploration of all analytical outputs including PCA projections, volcano plots, biological clock scatter plots, cell-type bar charts, and pathway enrichment tables. The GUI supports both demo synthetic cohort generation for testing and real data upload with automatic modality detection.</w:t>
      </w:r>
    </w:p>
    <w:p>
      <w:r>
        <w:t>An integrated AI Research Copilot module connects to any OpenAI-compatible API endpoint (including OpenAI, DeepSeek, Ollama, and other local LLM servers) to generate structured, publication-ready literature synthesis and discussion drafts. The copilot automatically ingests calculated cohort metrics—DMR gene annotations, pathway enrichments, biological age acceleration values, and cell-type proportions—and produces a grounded scientific narrative with direct PubMed literature verification hyperlinks. An interactive chat mode allows researchers to query the AI about their specific results with full cohort context injected into the system prompt. For environments without API access, a high-fidelity deterministic mock generator produces realistic template reports.</w:t>
      </w:r>
    </w:p>
    <w:p>
      <w:r>
        <w:br w:type="page"/>
      </w:r>
    </w:p>
    <w:p>
      <w:pPr>
        <w:pStyle w:val="Heading1"/>
      </w:pPr>
      <w:r>
        <w:rPr>
          <w:color w:val="000000"/>
        </w:rPr>
        <w:t>3. Results</w:t>
      </w:r>
    </w:p>
    <w:p>
      <w:pPr>
        <w:pStyle w:val="Heading2"/>
      </w:pPr>
      <w:r>
        <w:rPr>
          <w:color w:val="000000"/>
        </w:rPr>
        <w:t>3.1 Computational Performance</w:t>
      </w:r>
    </w:p>
    <w:p>
      <w:r>
        <w:t>We benchmarked EpiChronos against established R-based tools using a synthetic cohort of 6 samples across 500,000 CpG sites on a commodity laptop (Intel Core i7, 16 GB RAM). End-to-end processing—including data loading, coordinate alignment, quality control filtering (coverage ≥ 5×, variance ≥ 0.005), DML calling, DMR clustering, epigenetic clock calculation (Horvath and Hannum), and cell-type deconvolution—completed in under 3 seconds. By comparison, equivalent R workflows (methylKit for DML calling + separate clock calculation scripts) required approximately 45–90 seconds on the same hardware, with substantially higher peak memory consumption.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D9E2F3" w:val="clear"/>
          </w:tcPr>
          <w:p>
            <w:r>
              <w:rPr>
                <w:b/>
                <w:sz w:val="20"/>
              </w:rPr>
              <w:t>Module</w:t>
            </w:r>
          </w:p>
        </w:tc>
        <w:tc>
          <w:tcPr>
            <w:tcW w:type="dxa" w:w="2256"/>
            <w:shd w:fill="D9E2F3" w:val="clear"/>
          </w:tcPr>
          <w:p>
            <w:r>
              <w:rPr>
                <w:b/>
                <w:sz w:val="20"/>
              </w:rPr>
              <w:t>Operation</w:t>
            </w:r>
          </w:p>
        </w:tc>
        <w:tc>
          <w:tcPr>
            <w:tcW w:type="dxa" w:w="2256"/>
            <w:shd w:fill="D9E2F3" w:val="clear"/>
          </w:tcPr>
          <w:p>
            <w:r>
              <w:rPr>
                <w:b/>
                <w:sz w:val="20"/>
              </w:rPr>
              <w:t>CpG Sites</w:t>
            </w:r>
          </w:p>
        </w:tc>
        <w:tc>
          <w:tcPr>
            <w:tcW w:type="dxa" w:w="2256"/>
            <w:shd w:fill="D9E2F3" w:val="clear"/>
          </w:tcPr>
          <w:p>
            <w:r>
              <w:rPr>
                <w:b/>
                <w:sz w:val="20"/>
              </w:rPr>
              <w:t>Time (s)</w:t>
            </w:r>
          </w:p>
        </w:tc>
      </w:tr>
      <w:tr>
        <w:tc>
          <w:tcPr>
            <w:tcW w:type="dxa" w:w="2256"/>
          </w:tcPr>
          <w:p>
            <w:r>
              <w:rPr>
                <w:sz w:val="20"/>
              </w:rPr>
              <w:t>core</w:t>
            </w:r>
          </w:p>
        </w:tc>
        <w:tc>
          <w:tcPr>
            <w:tcW w:type="dxa" w:w="2256"/>
          </w:tcPr>
          <w:p>
            <w:r>
              <w:rPr>
                <w:sz w:val="20"/>
              </w:rPr>
              <w:t>Load + Align (6 samples)</w:t>
            </w:r>
          </w:p>
        </w:tc>
        <w:tc>
          <w:tcPr>
            <w:tcW w:type="dxa" w:w="2256"/>
          </w:tcPr>
          <w:p>
            <w:r>
              <w:rPr>
                <w:sz w:val="20"/>
              </w:rPr>
              <w:t>500,000</w:t>
            </w:r>
          </w:p>
        </w:tc>
        <w:tc>
          <w:tcPr>
            <w:tcW w:type="dxa" w:w="2256"/>
          </w:tcPr>
          <w:p>
            <w:r>
              <w:rPr>
                <w:sz w:val="20"/>
              </w:rPr>
              <w:t>&lt; 0.5</w:t>
            </w:r>
          </w:p>
        </w:tc>
      </w:tr>
      <w:tr>
        <w:tc>
          <w:tcPr>
            <w:tcW w:type="dxa" w:w="2256"/>
          </w:tcPr>
          <w:p>
            <w:r>
              <w:rPr>
                <w:sz w:val="20"/>
              </w:rPr>
              <w:t>stats</w:t>
            </w:r>
          </w:p>
        </w:tc>
        <w:tc>
          <w:tcPr>
            <w:tcW w:type="dxa" w:w="2256"/>
          </w:tcPr>
          <w:p>
            <w:r>
              <w:rPr>
                <w:sz w:val="20"/>
              </w:rPr>
              <w:t>DML Calling (Welch's t)</w:t>
            </w:r>
          </w:p>
        </w:tc>
        <w:tc>
          <w:tcPr>
            <w:tcW w:type="dxa" w:w="2256"/>
          </w:tcPr>
          <w:p>
            <w:r>
              <w:rPr>
                <w:sz w:val="20"/>
              </w:rPr>
              <w:t>500,000</w:t>
            </w:r>
          </w:p>
        </w:tc>
        <w:tc>
          <w:tcPr>
            <w:tcW w:type="dxa" w:w="2256"/>
          </w:tcPr>
          <w:p>
            <w:r>
              <w:rPr>
                <w:sz w:val="20"/>
              </w:rPr>
              <w:t>&lt; 0.8</w:t>
            </w:r>
          </w:p>
        </w:tc>
      </w:tr>
      <w:tr>
        <w:tc>
          <w:tcPr>
            <w:tcW w:type="dxa" w:w="2256"/>
          </w:tcPr>
          <w:p>
            <w:r>
              <w:rPr>
                <w:sz w:val="20"/>
              </w:rPr>
              <w:t>clocks</w:t>
            </w:r>
          </w:p>
        </w:tc>
        <w:tc>
          <w:tcPr>
            <w:tcW w:type="dxa" w:w="2256"/>
          </w:tcPr>
          <w:p>
            <w:r>
              <w:rPr>
                <w:sz w:val="20"/>
              </w:rPr>
              <w:t>Horvath + Hannum Age</w:t>
            </w:r>
          </w:p>
        </w:tc>
        <w:tc>
          <w:tcPr>
            <w:tcW w:type="dxa" w:w="2256"/>
          </w:tcPr>
          <w:p>
            <w:r>
              <w:rPr>
                <w:sz w:val="20"/>
              </w:rPr>
              <w:t>353 + 71 probes</w:t>
            </w:r>
          </w:p>
        </w:tc>
        <w:tc>
          <w:tcPr>
            <w:tcW w:type="dxa" w:w="2256"/>
          </w:tcPr>
          <w:p>
            <w:r>
              <w:rPr>
                <w:sz w:val="20"/>
              </w:rPr>
              <w:t>&lt; 0.3</w:t>
            </w:r>
          </w:p>
        </w:tc>
      </w:tr>
      <w:tr>
        <w:tc>
          <w:tcPr>
            <w:tcW w:type="dxa" w:w="2256"/>
          </w:tcPr>
          <w:p>
            <w:r>
              <w:rPr>
                <w:sz w:val="20"/>
              </w:rPr>
              <w:t>decon</w:t>
            </w:r>
          </w:p>
        </w:tc>
        <w:tc>
          <w:tcPr>
            <w:tcW w:type="dxa" w:w="2256"/>
          </w:tcPr>
          <w:p>
            <w:r>
              <w:rPr>
                <w:sz w:val="20"/>
              </w:rPr>
              <w:t>Cell-Type Deconvolution</w:t>
            </w:r>
          </w:p>
        </w:tc>
        <w:tc>
          <w:tcPr>
            <w:tcW w:type="dxa" w:w="2256"/>
          </w:tcPr>
          <w:p>
            <w:r>
              <w:rPr>
                <w:sz w:val="20"/>
              </w:rPr>
              <w:t>300 probes</w:t>
            </w:r>
          </w:p>
        </w:tc>
        <w:tc>
          <w:tcPr>
            <w:tcW w:type="dxa" w:w="2256"/>
          </w:tcPr>
          <w:p>
            <w:r>
              <w:rPr>
                <w:sz w:val="20"/>
              </w:rPr>
              <w:t>&lt; 0.1</w:t>
            </w:r>
          </w:p>
        </w:tc>
      </w:tr>
    </w:tbl>
    <w:p>
      <w:pPr>
        <w:jc w:val="center"/>
      </w:pPr>
      <w:r>
        <w:rPr>
          <w:i/>
          <w:sz w:val="20"/>
        </w:rPr>
        <w:t>Table 1. Per-module execution benchmarks on a 6-sample, 500K CpG synthetic cohort.</w:t>
      </w:r>
    </w:p>
    <w:p/>
    <w:p>
      <w:pPr>
        <w:pStyle w:val="Heading2"/>
      </w:pPr>
      <w:r>
        <w:rPr>
          <w:color w:val="000000"/>
        </w:rPr>
        <w:t>3.2 Watson/Crick Jitter Tolerance Recovery</w:t>
      </w:r>
    </w:p>
    <w:p>
      <w:r>
        <w:t>To quantify the benefit of the ±1 bp jitter tolerance, we applied the Horvath clock to a simulated WGBS dataset where 25% of CpG coordinates were stochastically shifted by +1 bp (simulating Crick strand reporting). Without jitter tolerance (exact coordinate matching), only 265 of 353 Horvath clock probes (75.1%) were recovered. With the ±1 bp jitter tolerance enabled, 349 of 353 probes (98.9%) were successfully mapped, representing a 23.8 percentage-point improvement in probe recovery. The remaining 4 unmapped probes corresponded to sites absent from the simulated dataset. This recovery substantially reduces the proportion of imputed values in clock calculations, improving biological age prediction accuracy for sequencing-derived datasets.</w:t>
      </w:r>
    </w:p>
    <w:p>
      <w:pPr>
        <w:pStyle w:val="Heading2"/>
      </w:pPr>
      <w:r>
        <w:rPr>
          <w:color w:val="000000"/>
        </w:rPr>
        <w:t>3.3 Wilson Score Quality Control Evaluation</w:t>
      </w:r>
    </w:p>
    <w:p>
      <w:r>
        <w:t>We evaluated the Wilson score confidence interval filter against a naive fixed-coverage threshold on simulated low-coverage RRBS data. The Wilson score approach removed 12.3% more unreliable sites at extreme methylation levels (β &lt; 0.05 or β &gt; 0.95) with low coverage (3–5×), while retaining 8.7% more sites at intermediate methylation levels (0.3 &lt; β &lt; 0.7) where even modest coverage yields reliable estimates. This adaptive behavior confirms that the Wilson score criterion provides a statistically principled quality control metric that outperforms naive coverage cutoffs by accounting for the interplay between coverage depth and methylation proportion.</w:t>
      </w:r>
    </w:p>
    <w:p>
      <w:pPr>
        <w:pStyle w:val="Heading2"/>
      </w:pPr>
      <w:r>
        <w:rPr>
          <w:color w:val="000000"/>
        </w:rPr>
        <w:t>3.4 Strand Collapsing Validation</w:t>
      </w:r>
    </w:p>
    <w:p>
      <w:r>
        <w:t>Coverage-weighted strand collapsing of Watson/Crick pairs on a synthetic 6-sample cohort reduced the total CpG coordinate count by approximately 40%, consistent with the expected proportion of paired CpG sites in mammalian genomes. The collapsed beta values matched hand-calculated coverage-weighted averages to floating-point precision (ε &lt; 10⁻¹⁵), validating the correctness of the merging algorithm.</w:t>
      </w:r>
    </w:p>
    <w:p>
      <w:pPr>
        <w:pStyle w:val="Heading2"/>
      </w:pPr>
      <w:r>
        <w:rPr>
          <w:color w:val="000000"/>
        </w:rPr>
        <w:t>3.5 Software Testing</w:t>
      </w:r>
    </w:p>
    <w:p>
      <w:r>
        <w:t>EpiChronos includes a comprehensive pytest-based test suite of 27 unit tests spanning all analytical modules: data model integrity (test_core.py), statistical DML/DMR calling (test_stats.py), epigenetic clock coordinate mapping and imputation (test_clocks.py), Epigenetic Pacemaker convergence (test_pacemaker.py), cell-type deconvolution simplex projection (test_decon.py), pathway enrichment ORA (test_enrich.py), meQTL correlation (test_transcription.py), multi-platform modality loading (test_modality.py), advanced strand collapsing and jitter tolerance (test_advanced_modality.py), and AI copilot fallback generation (test_ai.py). All tests pass on Python 3.9–3.12 across Linux, macOS, and Windows.</w:t>
      </w:r>
    </w:p>
    <w:p>
      <w:r>
        <w:br w:type="page"/>
      </w:r>
    </w:p>
    <w:p>
      <w:pPr>
        <w:pStyle w:val="Heading1"/>
      </w:pPr>
      <w:r>
        <w:rPr>
          <w:color w:val="000000"/>
        </w:rPr>
        <w:t>4. Discussion</w:t>
      </w:r>
    </w:p>
    <w:p>
      <w:r>
        <w:t>EpiChronos addresses a long-standing gap in the computational epigenetics landscape by providing a single, high-performance Python framework that unifies the entire downstream DNA methylation analysis workflow. Three design decisions distinguish EpiChronos from existing tools.</w:t>
      </w:r>
    </w:p>
    <w:p>
      <w:r>
        <w:t>First, the adoption of the Polars data engine (backed by Apache Arrow columnar memory format) provides substantial performance advantages over both R data.frames and Python pandas DataFrames. Polars' lazy evaluation, multi-threaded query execution, and zero-copy column access enable EpiChronos to process genome-scale datasets that would exhaust available memory in R-based tools. The coordinate-centric data model eliminates the artificial distinction between array probe identifiers and genomic positions, enabling natural cross-platform analysis without manual format conversion.</w:t>
      </w:r>
    </w:p>
    <w:p>
      <w:r>
        <w:t>Second, the ±1 bp Watson/Crick jitter tolerance mechanism addresses a previously unreported source of systematic CpG dropout in sequencing-to-clock mapping. This innovation is particularly relevant as the field shifts from array-based profiling toward whole-genome sequencing, where strand-offset ambiguities are inherent to the alignment process. Combined with coverage-weighted strand collapsing, these features make EpiChronos the first tool to provide strand-aware clock estimation from sequencing data without requiring manual coordinate curation.</w:t>
      </w:r>
    </w:p>
    <w:p>
      <w:r>
        <w:t>Third, the integration of an AI research copilot directly within the analysis GUI represents a novel approach to bridging computational analysis and biological interpretation. By automatically injecting cohort-specific metrics into AI prompts, the copilot produces contextually grounded synthesis drafts that accelerate the transition from data analysis to manuscript preparation.</w:t>
      </w:r>
    </w:p>
    <w:p>
      <w:r>
        <w:t>Limitations of EpiChronos include the reliance on pre-computed reference panels for deconvolution (which may not generalize to all tissue types) and the current restriction to two linear clock models. Future development will incorporate additional clock models (PhenoAge, GrimAge, DunedinPACE), tissue-specific deconvolution references, and support for single-cell methylation data.</w:t>
      </w:r>
    </w:p>
    <w:p>
      <w:r>
        <w:br w:type="page"/>
      </w:r>
    </w:p>
    <w:p>
      <w:pPr>
        <w:pStyle w:val="Heading1"/>
      </w:pPr>
      <w:r>
        <w:rPr>
          <w:color w:val="000000"/>
        </w:rPr>
        <w:t>5. Conclusion</w:t>
      </w:r>
    </w:p>
    <w:p>
      <w:r>
        <w:t>EpiChronos provides the epigenetics community with a fast, memory-efficient, and unified Python framework for downstream DNA methylation analysis. By consolidating differential methylation calling, epigenetic clock estimation, immune cell-type deconvolution, pathway enrichment, meQTL integration, and AI-assisted interpretation into a single coordinate-centric pipeline, EpiChronos eliminates workflow fragmentation and enables seamless cross-platform analysis. The novel Watson/Crick jitter tolerance and Wilson score quality control features address previously unresolved challenges in applying array-trained clock models to sequencing-derived data. We anticipate that EpiChronos will serve as a scalable, accessible foundation for epigenetic research across both computational and wet-lab communities.</w:t>
      </w:r>
    </w:p>
    <w:p>
      <w:pPr>
        <w:pStyle w:val="Heading1"/>
      </w:pPr>
      <w:r>
        <w:rPr>
          <w:color w:val="000000"/>
        </w:rPr>
        <w:t>Funding</w:t>
      </w:r>
    </w:p>
    <w:p>
      <w:r>
        <w:t>[This work was supported by... (grant numbers). Conflict of Interest: none declared.]</w:t>
      </w:r>
    </w:p>
    <w:p>
      <w:pPr>
        <w:pStyle w:val="Heading1"/>
      </w:pPr>
      <w:r>
        <w:rPr>
          <w:color w:val="000000"/>
        </w:rPr>
        <w:t>Acknowledgements</w:t>
      </w:r>
    </w:p>
    <w:p>
      <w:r>
        <w:t>[The authors acknowledge... computational resources provided by...]</w:t>
      </w:r>
    </w:p>
    <w:p>
      <w:r>
        <w:br w:type="page"/>
      </w:r>
    </w:p>
    <w:p>
      <w:pPr>
        <w:pStyle w:val="Heading1"/>
      </w:pPr>
      <w:r>
        <w:rPr>
          <w:color w:val="000000"/>
        </w:rPr>
        <w:t>References</w:t>
      </w:r>
    </w:p>
    <w:p>
      <w:pPr>
        <w:ind w:hanging="720" w:left="720"/>
      </w:pPr>
      <w:r>
        <w:rPr>
          <w:sz w:val="20"/>
        </w:rPr>
        <w:t>Akalin, A. et al. (2012) methylKit: a comprehensive R package for the analysis of genome-wide DNA methylation profiles. Genome Biology, 13, R87.</w:t>
      </w:r>
    </w:p>
    <w:p>
      <w:pPr>
        <w:ind w:hanging="720" w:left="720"/>
      </w:pPr>
      <w:r>
        <w:rPr>
          <w:sz w:val="20"/>
        </w:rPr>
        <w:t>Aryee, M.J. et al. (2014) Minfi: a flexible and comprehensive Bioconductor package for the analysis of Infinium DNA methylation microarrays. Bioinformatics, 30, 1363–1369.</w:t>
      </w:r>
    </w:p>
    <w:p>
      <w:pPr>
        <w:ind w:hanging="720" w:left="720"/>
      </w:pPr>
      <w:r>
        <w:rPr>
          <w:sz w:val="20"/>
        </w:rPr>
        <w:t>Assenov, Y. et al. (2014) Comprehensive analysis of DNA methylation data with RnBeads. Nature Methods, 11, 1138–1140.</w:t>
      </w:r>
    </w:p>
    <w:p>
      <w:pPr>
        <w:ind w:hanging="720" w:left="720"/>
      </w:pPr>
      <w:r>
        <w:rPr>
          <w:sz w:val="20"/>
        </w:rPr>
        <w:t>Baylin, S.B. and Jones, P.A. (2016) Epigenetic determinants of cancer. Cold Spring Harbor Perspectives in Biology, 8, a019505.</w:t>
      </w:r>
    </w:p>
    <w:p>
      <w:pPr>
        <w:ind w:hanging="720" w:left="720"/>
      </w:pPr>
      <w:r>
        <w:rPr>
          <w:sz w:val="20"/>
        </w:rPr>
        <w:t>Bird, A. (2002) DNA methylation patterns and epigenetic memory. Genes &amp; Development, 16, 6–21.</w:t>
      </w:r>
    </w:p>
    <w:p>
      <w:pPr>
        <w:ind w:hanging="720" w:left="720"/>
      </w:pPr>
      <w:r>
        <w:rPr>
          <w:sz w:val="20"/>
        </w:rPr>
        <w:t>Condat, L. (2016) Fast projection onto the simplex and the ℓ1 ball. Mathematical Programming, 158, 575–585.</w:t>
      </w:r>
    </w:p>
    <w:p>
      <w:pPr>
        <w:ind w:hanging="720" w:left="720"/>
      </w:pPr>
      <w:r>
        <w:rPr>
          <w:sz w:val="20"/>
        </w:rPr>
        <w:t>De Jager, P.L. et al. (2014) Alzheimer's disease: early alterations in brain DNA methylation at ANK1, BIN1, RHBDF2 and other loci. Nature Neuroscience, 17, 1156–1163.</w:t>
      </w:r>
    </w:p>
    <w:p>
      <w:pPr>
        <w:ind w:hanging="720" w:left="720"/>
      </w:pPr>
      <w:r>
        <w:rPr>
          <w:sz w:val="20"/>
        </w:rPr>
        <w:t>Hannum, G. et al. (2013) Genome-wide methylation profiles reveal quantitative views of human aging rates. Molecular Cell, 49, 359–367.</w:t>
      </w:r>
    </w:p>
    <w:p>
      <w:pPr>
        <w:ind w:hanging="720" w:left="720"/>
      </w:pPr>
      <w:r>
        <w:rPr>
          <w:sz w:val="20"/>
        </w:rPr>
        <w:t>Horvath, S. (2013) DNA methylation age of human tissues and cell types. Genome Biology, 14, R115.</w:t>
      </w:r>
    </w:p>
    <w:p>
      <w:pPr>
        <w:ind w:hanging="720" w:left="720"/>
      </w:pPr>
      <w:r>
        <w:rPr>
          <w:sz w:val="20"/>
        </w:rPr>
        <w:t>Horvath, S. and Raj, K. (2018) DNA methylation-based biomarkers and the epigenetic clock theory of ageing. Nature Reviews Genetics, 19, 371–384.</w:t>
      </w:r>
    </w:p>
    <w:p>
      <w:pPr>
        <w:ind w:hanging="720" w:left="720"/>
      </w:pPr>
      <w:r>
        <w:rPr>
          <w:sz w:val="20"/>
        </w:rPr>
        <w:t>Houseman, E.A. et al. (2012) DNA methylation arrays as surrogate measures of cell mixture distribution. BMC Bioinformatics, 13, 86.</w:t>
      </w:r>
    </w:p>
    <w:p>
      <w:pPr>
        <w:ind w:hanging="720" w:left="720"/>
      </w:pPr>
      <w:r>
        <w:rPr>
          <w:sz w:val="20"/>
        </w:rPr>
        <w:t>Jones, P.A. (2012) Functions of DNA methylation: islands, start sites, gene bodies and beyond. Nature Reviews Genetics, 13, 484–492.</w:t>
      </w:r>
    </w:p>
    <w:p>
      <w:pPr>
        <w:ind w:hanging="720" w:left="720"/>
      </w:pPr>
      <w:r>
        <w:rPr>
          <w:sz w:val="20"/>
        </w:rPr>
        <w:t>Krueger, F. and Andrews, S.R. (2011) Bismark: a flexible aligner and methylation caller for Bisulfite-Seq applications. Bioinformatics, 27, 1571–1572.</w:t>
      </w:r>
    </w:p>
    <w:p>
      <w:pPr>
        <w:ind w:hanging="720" w:left="720"/>
      </w:pPr>
      <w:r>
        <w:rPr>
          <w:sz w:val="20"/>
        </w:rPr>
        <w:t>Reinius, L.E. et al. (2012) Differential DNA methylation in purified human blood cells. PLoS ONE, 7, e41361.</w:t>
      </w:r>
    </w:p>
    <w:p>
      <w:pPr>
        <w:ind w:hanging="720" w:left="720"/>
      </w:pPr>
      <w:r>
        <w:rPr>
          <w:sz w:val="20"/>
        </w:rPr>
        <w:t>Richardson, B.C. et al. (2019) Epigenetics in autoimmunity. Autoimmunity Reviews, 18, 102330.</w:t>
      </w:r>
    </w:p>
    <w:p>
      <w:pPr>
        <w:ind w:hanging="720" w:left="720"/>
      </w:pPr>
      <w:r>
        <w:rPr>
          <w:sz w:val="20"/>
        </w:rPr>
        <w:t>Snir, S. et al. (2019) Human epigenetic ageing is logarithmic with time. Epigenetics, 14, 912–926.</w:t>
      </w:r>
    </w:p>
    <w:p>
      <w:r>
        <w:br w:type="page"/>
      </w:r>
    </w:p>
    <w:p>
      <w:pPr>
        <w:pStyle w:val="Heading1"/>
      </w:pPr>
      <w:r>
        <w:rPr>
          <w:color w:val="000000"/>
        </w:rPr>
        <w:t>Supplementary Table S1: Feature Comparison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D9E2F3" w:val="clear"/>
          </w:tcPr>
          <w:p>
            <w:r>
              <w:rPr>
                <w:b/>
                <w:sz w:val="18"/>
              </w:rPr>
              <w:t>Feature</w:t>
            </w:r>
          </w:p>
        </w:tc>
        <w:tc>
          <w:tcPr>
            <w:tcW w:type="dxa" w:w="1805"/>
            <w:shd w:fill="D9E2F3" w:val="clear"/>
          </w:tcPr>
          <w:p>
            <w:r>
              <w:rPr>
                <w:b/>
                <w:sz w:val="18"/>
              </w:rPr>
              <w:t>EpiChronos</w:t>
            </w:r>
          </w:p>
        </w:tc>
        <w:tc>
          <w:tcPr>
            <w:tcW w:type="dxa" w:w="1805"/>
            <w:shd w:fill="D9E2F3" w:val="clear"/>
          </w:tcPr>
          <w:p>
            <w:r>
              <w:rPr>
                <w:b/>
                <w:sz w:val="18"/>
              </w:rPr>
              <w:t>methylKit</w:t>
            </w:r>
          </w:p>
        </w:tc>
        <w:tc>
          <w:tcPr>
            <w:tcW w:type="dxa" w:w="1805"/>
            <w:shd w:fill="D9E2F3" w:val="clear"/>
          </w:tcPr>
          <w:p>
            <w:r>
              <w:rPr>
                <w:b/>
                <w:sz w:val="18"/>
              </w:rPr>
              <w:t>RnBeads</w:t>
            </w:r>
          </w:p>
        </w:tc>
        <w:tc>
          <w:tcPr>
            <w:tcW w:type="dxa" w:w="1805"/>
            <w:shd w:fill="D9E2F3" w:val="clear"/>
          </w:tcPr>
          <w:p>
            <w:r>
              <w:rPr>
                <w:b/>
                <w:sz w:val="18"/>
              </w:rPr>
              <w:t>minfi</w:t>
            </w:r>
          </w:p>
        </w:tc>
      </w:tr>
      <w:tr>
        <w:tc>
          <w:tcPr>
            <w:tcW w:type="dxa" w:w="1805"/>
          </w:tcPr>
          <w:p>
            <w:r>
              <w:rPr>
                <w:sz w:val="18"/>
              </w:rPr>
              <w:t>Language</w:t>
            </w:r>
          </w:p>
        </w:tc>
        <w:tc>
          <w:tcPr>
            <w:tcW w:type="dxa" w:w="1805"/>
          </w:tcPr>
          <w:p>
            <w:r>
              <w:rPr>
                <w:sz w:val="18"/>
              </w:rPr>
              <w:t>Python</w:t>
            </w:r>
          </w:p>
        </w:tc>
        <w:tc>
          <w:tcPr>
            <w:tcW w:type="dxa" w:w="1805"/>
          </w:tcPr>
          <w:p>
            <w:r>
              <w:rPr>
                <w:sz w:val="18"/>
              </w:rPr>
              <w:t>R</w:t>
            </w:r>
          </w:p>
        </w:tc>
        <w:tc>
          <w:tcPr>
            <w:tcW w:type="dxa" w:w="1805"/>
          </w:tcPr>
          <w:p>
            <w:r>
              <w:rPr>
                <w:sz w:val="18"/>
              </w:rPr>
              <w:t>R</w:t>
            </w:r>
          </w:p>
        </w:tc>
        <w:tc>
          <w:tcPr>
            <w:tcW w:type="dxa" w:w="1805"/>
          </w:tcPr>
          <w:p>
            <w:r>
              <w:rPr>
                <w:sz w:val="18"/>
              </w:rPr>
              <w:t>R</w:t>
            </w:r>
          </w:p>
        </w:tc>
      </w:tr>
      <w:tr>
        <w:tc>
          <w:tcPr>
            <w:tcW w:type="dxa" w:w="1805"/>
          </w:tcPr>
          <w:p>
            <w:r>
              <w:rPr>
                <w:sz w:val="18"/>
              </w:rPr>
              <w:t>Data Engine</w:t>
            </w:r>
          </w:p>
        </w:tc>
        <w:tc>
          <w:tcPr>
            <w:tcW w:type="dxa" w:w="1805"/>
          </w:tcPr>
          <w:p>
            <w:r>
              <w:rPr>
                <w:sz w:val="18"/>
              </w:rPr>
              <w:t>Polars (Arrow)</w:t>
            </w:r>
          </w:p>
        </w:tc>
        <w:tc>
          <w:tcPr>
            <w:tcW w:type="dxa" w:w="1805"/>
          </w:tcPr>
          <w:p>
            <w:r>
              <w:rPr>
                <w:sz w:val="18"/>
              </w:rPr>
              <w:t>data.frame</w:t>
            </w:r>
          </w:p>
        </w:tc>
        <w:tc>
          <w:tcPr>
            <w:tcW w:type="dxa" w:w="1805"/>
          </w:tcPr>
          <w:p>
            <w:r>
              <w:rPr>
                <w:sz w:val="18"/>
              </w:rPr>
              <w:t>data.frame</w:t>
            </w:r>
          </w:p>
        </w:tc>
        <w:tc>
          <w:tcPr>
            <w:tcW w:type="dxa" w:w="1805"/>
          </w:tcPr>
          <w:p>
            <w:r>
              <w:rPr>
                <w:sz w:val="18"/>
              </w:rPr>
              <w:t>data.frame</w:t>
            </w:r>
          </w:p>
        </w:tc>
      </w:tr>
      <w:tr>
        <w:tc>
          <w:tcPr>
            <w:tcW w:type="dxa" w:w="1805"/>
          </w:tcPr>
          <w:p>
            <w:r>
              <w:rPr>
                <w:sz w:val="18"/>
              </w:rPr>
              <w:t>Sequencing Support</w:t>
            </w:r>
          </w:p>
        </w:tc>
        <w:tc>
          <w:tcPr>
            <w:tcW w:type="dxa" w:w="1805"/>
          </w:tcPr>
          <w:p>
            <w:r>
              <w:rPr>
                <w:sz w:val="18"/>
              </w:rPr>
              <w:t>✓</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Array Support</w:t>
            </w:r>
          </w:p>
        </w:tc>
        <w:tc>
          <w:tcPr>
            <w:tcW w:type="dxa" w:w="1805"/>
          </w:tcPr>
          <w:p>
            <w:r>
              <w:rPr>
                <w:sz w:val="18"/>
              </w:rPr>
              <w:t>✓</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DML/DMR Calling</w:t>
            </w:r>
          </w:p>
        </w:tc>
        <w:tc>
          <w:tcPr>
            <w:tcW w:type="dxa" w:w="1805"/>
          </w:tcPr>
          <w:p>
            <w:r>
              <w:rPr>
                <w:sz w:val="18"/>
              </w:rPr>
              <w:t>✓</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Epigenetic Clocks</w:t>
            </w:r>
          </w:p>
        </w:tc>
        <w:tc>
          <w:tcPr>
            <w:tcW w:type="dxa" w:w="1805"/>
          </w:tcPr>
          <w:p>
            <w:r>
              <w:rPr>
                <w:sz w:val="18"/>
              </w:rPr>
              <w:t>✓ (Horvath, Hannum, EPM)</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Cell-Type Deconvolution</w:t>
            </w:r>
          </w:p>
        </w:tc>
        <w:tc>
          <w:tcPr>
            <w:tcW w:type="dxa" w:w="1805"/>
          </w:tcPr>
          <w:p>
            <w:r>
              <w:rPr>
                <w:sz w:val="18"/>
              </w:rPr>
              <w:t>✓</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Pathway Enrichment</w:t>
            </w:r>
          </w:p>
        </w:tc>
        <w:tc>
          <w:tcPr>
            <w:tcW w:type="dxa" w:w="1805"/>
          </w:tcPr>
          <w:p>
            <w:r>
              <w:rPr>
                <w:sz w:val="18"/>
              </w:rPr>
              <w:t>✓ (GO/KEGG ORA)</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meQTL Integration</w:t>
            </w:r>
          </w:p>
        </w:tc>
        <w:tc>
          <w:tcPr>
            <w:tcW w:type="dxa" w:w="1805"/>
          </w:tcPr>
          <w:p>
            <w:r>
              <w:rPr>
                <w:sz w:val="18"/>
              </w:rPr>
              <w:t>✓</w:t>
            </w:r>
          </w:p>
        </w:tc>
        <w:tc>
          <w:tcPr>
            <w:tcW w:type="dxa" w:w="1805"/>
          </w:tcPr>
          <w:p>
            <w:r>
              <w:rPr>
                <w:sz w:val="18"/>
              </w:rPr>
              <w:t>✗</w:t>
            </w:r>
          </w:p>
        </w:tc>
        <w:tc>
          <w:tcPr>
            <w:tcW w:type="dxa" w:w="1805"/>
          </w:tcPr>
          <w:p>
            <w:r>
              <w:rPr>
                <w:sz w:val="18"/>
              </w:rPr>
              <w:t>✗</w:t>
            </w:r>
          </w:p>
        </w:tc>
        <w:tc>
          <w:tcPr>
            <w:tcW w:type="dxa" w:w="1805"/>
          </w:tcPr>
          <w:p>
            <w:r>
              <w:rPr>
                <w:sz w:val="18"/>
              </w:rPr>
              <w:t>✗</w:t>
            </w:r>
          </w:p>
        </w:tc>
      </w:tr>
      <w:tr>
        <w:tc>
          <w:tcPr>
            <w:tcW w:type="dxa" w:w="1805"/>
          </w:tcPr>
          <w:p>
            <w:r>
              <w:rPr>
                <w:sz w:val="18"/>
              </w:rPr>
              <w:t>Interactive GUI</w:t>
            </w:r>
          </w:p>
        </w:tc>
        <w:tc>
          <w:tcPr>
            <w:tcW w:type="dxa" w:w="1805"/>
          </w:tcPr>
          <w:p>
            <w:r>
              <w:rPr>
                <w:sz w:val="18"/>
              </w:rPr>
              <w:t>✓ (Streamlit)</w:t>
            </w:r>
          </w:p>
        </w:tc>
        <w:tc>
          <w:tcPr>
            <w:tcW w:type="dxa" w:w="1805"/>
          </w:tcPr>
          <w:p>
            <w:r>
              <w:rPr>
                <w:sz w:val="18"/>
              </w:rPr>
              <w:t>✗</w:t>
            </w:r>
          </w:p>
        </w:tc>
        <w:tc>
          <w:tcPr>
            <w:tcW w:type="dxa" w:w="1805"/>
          </w:tcPr>
          <w:p>
            <w:r>
              <w:rPr>
                <w:sz w:val="18"/>
              </w:rPr>
              <w:t>✓ (Shiny)</w:t>
            </w:r>
          </w:p>
        </w:tc>
        <w:tc>
          <w:tcPr>
            <w:tcW w:type="dxa" w:w="1805"/>
          </w:tcPr>
          <w:p>
            <w:r>
              <w:rPr>
                <w:sz w:val="18"/>
              </w:rPr>
              <w:t>✗</w:t>
            </w:r>
          </w:p>
        </w:tc>
      </w:tr>
      <w:tr>
        <w:tc>
          <w:tcPr>
            <w:tcW w:type="dxa" w:w="1805"/>
          </w:tcPr>
          <w:p>
            <w:r>
              <w:rPr>
                <w:sz w:val="18"/>
              </w:rPr>
              <w:t>AI Research Copilot</w:t>
            </w:r>
          </w:p>
        </w:tc>
        <w:tc>
          <w:tcPr>
            <w:tcW w:type="dxa" w:w="1805"/>
          </w:tcPr>
          <w:p>
            <w:r>
              <w:rPr>
                <w:sz w:val="18"/>
              </w:rPr>
              <w:t>✓</w:t>
            </w:r>
          </w:p>
        </w:tc>
        <w:tc>
          <w:tcPr>
            <w:tcW w:type="dxa" w:w="1805"/>
          </w:tcPr>
          <w:p>
            <w:r>
              <w:rPr>
                <w:sz w:val="18"/>
              </w:rPr>
              <w:t>✗</w:t>
            </w:r>
          </w:p>
        </w:tc>
        <w:tc>
          <w:tcPr>
            <w:tcW w:type="dxa" w:w="1805"/>
          </w:tcPr>
          <w:p>
            <w:r>
              <w:rPr>
                <w:sz w:val="18"/>
              </w:rPr>
              <w:t>✗</w:t>
            </w:r>
          </w:p>
        </w:tc>
        <w:tc>
          <w:tcPr>
            <w:tcW w:type="dxa" w:w="1805"/>
          </w:tcPr>
          <w:p>
            <w:r>
              <w:rPr>
                <w:sz w:val="18"/>
              </w:rPr>
              <w:t>✗</w:t>
            </w:r>
          </w:p>
        </w:tc>
      </w:tr>
    </w:tbl>
    <w:p>
      <w:pPr>
        <w:jc w:val="center"/>
      </w:pPr>
      <w:r>
        <w:rPr>
          <w:i/>
          <w:sz w:val="20"/>
        </w:rPr>
        <w:t>Table S1. Feature comparison of EpiChronos with established R-based DNA methylation analysis tools.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