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Billora Business Readiness Review</w:t>
      </w:r>
    </w:p>
    <w:p>
      <w:pPr>
        <w:spacing w:after="220"/>
      </w:pPr>
      <w:r>
        <w:rPr>
          <w:rFonts w:ascii="Aptos" w:hAnsi="Aptos"/>
          <w:color w:val="4C5967"/>
          <w:sz w:val="20"/>
        </w:rPr>
        <w:t>Project feature assessment and launch priorities  |  27 September 2026</w:t>
      </w:r>
    </w:p>
    <w:p>
      <w:pPr>
        <w:pStyle w:val="Heading1"/>
      </w:pPr>
      <w:r>
        <w:t>Executive assessment</w:t>
      </w:r>
    </w:p>
    <w:p>
      <w:pPr>
        <w:spacing w:after="140"/>
      </w:pPr>
      <w:r>
        <w:rPr>
          <w:b/>
        </w:rPr>
        <w:t xml:space="preserve">Recommendation: do not rely on Billora yet as the authoritative system for live financial operations. </w:t>
      </w:r>
      <w:r>
        <w:t>The product has a wide ERP feature surface and a successful production build, but transaction integrity, authorization, persistent business records, and statutory calculations need further work. Several screens marked Stable do not meet that standard.</w:t>
      </w:r>
    </w:p>
    <w:p>
      <w:r>
        <w:t>The current build is suitable for continued development and controlled demonstrations. Before a business records real invoices, payments, payroll, or tax data, close the critical security and payment gaps, make accounting effects consistent across transaction lifecycles, and replace sample or in-memory records with durable organization-scoped storage.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vAlign w:val="center"/>
            <w:shd w:fill="243B53"/>
          </w:tcPr>
          <w:p>
            <w:pPr>
              <w:spacing w:after="40" w:before="40" w:line="240" w:lineRule="auto"/>
            </w:pPr>
            <w:r/>
            <w:r>
              <w:rPr>
                <w:rFonts w:ascii="Aptos" w:hAnsi="Aptos"/>
                <w:b/>
                <w:color w:val="FFFFFF"/>
                <w:sz w:val="17"/>
              </w:rPr>
              <w:t>Check</w:t>
            </w:r>
          </w:p>
        </w:tc>
        <w:tc>
          <w:tcPr>
            <w:tcW w:type="dxa" w:w="1440"/>
            <w:vAlign w:val="center"/>
            <w:shd w:fill="243B53"/>
          </w:tcPr>
          <w:p>
            <w:pPr>
              <w:spacing w:after="40" w:before="40" w:line="240" w:lineRule="auto"/>
            </w:pPr>
            <w:r/>
            <w:r>
              <w:rPr>
                <w:rFonts w:ascii="Aptos" w:hAnsi="Aptos"/>
                <w:b/>
                <w:color w:val="FFFFFF"/>
                <w:sz w:val="17"/>
              </w:rPr>
              <w:t>Result</w:t>
            </w:r>
          </w:p>
        </w:tc>
        <w:tc>
          <w:tcPr>
            <w:tcW w:type="dxa" w:w="6984"/>
            <w:vAlign w:val="center"/>
            <w:shd w:fill="243B53"/>
          </w:tcPr>
          <w:p>
            <w:pPr>
              <w:spacing w:after="40" w:before="40" w:line="240" w:lineRule="auto"/>
            </w:pPr>
            <w:r/>
            <w:r>
              <w:rPr>
                <w:rFonts w:ascii="Aptos" w:hAnsi="Aptos"/>
                <w:b/>
                <w:color w:val="FFFFFF"/>
                <w:sz w:val="17"/>
              </w:rPr>
              <w:t>What it establishes</w:t>
            </w:r>
          </w:p>
        </w:tc>
      </w:tr>
      <w:tr>
        <w:tc>
          <w:tcPr>
            <w:tcW w:type="dxa" w:w="1800"/>
            <w:vAlign w:val="center"/>
          </w:tcPr>
          <w:p>
            <w:pPr>
              <w:spacing w:after="40" w:before="40" w:line="240" w:lineRule="auto"/>
            </w:pPr>
            <w:r/>
            <w:r>
              <w:rPr>
                <w:rFonts w:ascii="Aptos" w:hAnsi="Aptos"/>
                <w:b w:val="0"/>
                <w:sz w:val="17"/>
              </w:rPr>
              <w:t>Production build</w:t>
            </w:r>
          </w:p>
        </w:tc>
        <w:tc>
          <w:tcPr>
            <w:tcW w:type="dxa" w:w="1440"/>
            <w:vAlign w:val="center"/>
          </w:tcPr>
          <w:p>
            <w:pPr>
              <w:spacing w:after="40" w:before="40" w:line="240" w:lineRule="auto"/>
            </w:pPr>
            <w:r/>
            <w:r>
              <w:rPr>
                <w:rFonts w:ascii="Aptos" w:hAnsi="Aptos"/>
                <w:b w:val="0"/>
                <w:sz w:val="17"/>
              </w:rPr>
              <w:t>Pass</w:t>
            </w:r>
          </w:p>
        </w:tc>
        <w:tc>
          <w:tcPr>
            <w:tcW w:type="dxa" w:w="6984"/>
            <w:vAlign w:val="center"/>
          </w:tcPr>
          <w:p>
            <w:pPr>
              <w:spacing w:after="40" w:before="40" w:line="240" w:lineRule="auto"/>
            </w:pPr>
            <w:r/>
            <w:r>
              <w:rPr>
                <w:rFonts w:ascii="Aptos" w:hAnsi="Aptos"/>
                <w:b w:val="0"/>
                <w:sz w:val="17"/>
              </w:rPr>
              <w:t>Next.js production compilation and static page generation completed.</w:t>
            </w:r>
          </w:p>
        </w:tc>
      </w:tr>
      <w:tr>
        <w:tc>
          <w:tcPr>
            <w:tcW w:type="dxa" w:w="1800"/>
            <w:vAlign w:val="center"/>
            <w:shd w:fill="F0F4F8"/>
          </w:tcPr>
          <w:p>
            <w:pPr>
              <w:spacing w:after="40" w:before="40" w:line="240" w:lineRule="auto"/>
            </w:pPr>
            <w:r/>
            <w:r>
              <w:rPr>
                <w:rFonts w:ascii="Aptos" w:hAnsi="Aptos"/>
                <w:b w:val="0"/>
                <w:sz w:val="17"/>
              </w:rPr>
              <w:t>TypeScript</w:t>
            </w:r>
          </w:p>
        </w:tc>
        <w:tc>
          <w:tcPr>
            <w:tcW w:type="dxa" w:w="1440"/>
            <w:vAlign w:val="center"/>
            <w:shd w:fill="F0F4F8"/>
          </w:tcPr>
          <w:p>
            <w:pPr>
              <w:spacing w:after="40" w:before="40" w:line="240" w:lineRule="auto"/>
            </w:pPr>
            <w:r/>
            <w:r>
              <w:rPr>
                <w:rFonts w:ascii="Aptos" w:hAnsi="Aptos"/>
                <w:b w:val="0"/>
                <w:sz w:val="17"/>
              </w:rPr>
              <w:t>Pass</w:t>
            </w:r>
          </w:p>
        </w:tc>
        <w:tc>
          <w:tcPr>
            <w:tcW w:type="dxa" w:w="6984"/>
            <w:vAlign w:val="center"/>
            <w:shd w:fill="F0F4F8"/>
          </w:tcPr>
          <w:p>
            <w:pPr>
              <w:spacing w:after="40" w:before="40" w:line="240" w:lineRule="auto"/>
            </w:pPr>
            <w:r/>
            <w:r>
              <w:rPr>
                <w:rFonts w:ascii="Aptos" w:hAnsi="Aptos"/>
                <w:b w:val="0"/>
                <w:sz w:val="17"/>
              </w:rPr>
              <w:t>The configured no-emit type check completed.</w:t>
            </w:r>
          </w:p>
        </w:tc>
      </w:tr>
      <w:tr>
        <w:tc>
          <w:tcPr>
            <w:tcW w:type="dxa" w:w="1800"/>
            <w:vAlign w:val="center"/>
          </w:tcPr>
          <w:p>
            <w:pPr>
              <w:spacing w:after="40" w:before="40" w:line="240" w:lineRule="auto"/>
            </w:pPr>
            <w:r/>
            <w:r>
              <w:rPr>
                <w:rFonts w:ascii="Aptos" w:hAnsi="Aptos"/>
                <w:b w:val="0"/>
                <w:sz w:val="17"/>
              </w:rPr>
              <w:t>Unit suite</w:t>
            </w:r>
          </w:p>
        </w:tc>
        <w:tc>
          <w:tcPr>
            <w:tcW w:type="dxa" w:w="1440"/>
            <w:vAlign w:val="center"/>
          </w:tcPr>
          <w:p>
            <w:pPr>
              <w:spacing w:after="40" w:before="40" w:line="240" w:lineRule="auto"/>
            </w:pPr>
            <w:r/>
            <w:r>
              <w:rPr>
                <w:rFonts w:ascii="Aptos" w:hAnsi="Aptos"/>
                <w:b w:val="0"/>
                <w:sz w:val="17"/>
              </w:rPr>
              <w:t>218 passed</w:t>
            </w:r>
          </w:p>
        </w:tc>
        <w:tc>
          <w:tcPr>
            <w:tcW w:type="dxa" w:w="6984"/>
            <w:vAlign w:val="center"/>
          </w:tcPr>
          <w:p>
            <w:pPr>
              <w:spacing w:after="40" w:before="40" w:line="240" w:lineRule="auto"/>
            </w:pPr>
            <w:r/>
            <w:r>
              <w:rPr>
                <w:rFonts w:ascii="Aptos" w:hAnsi="Aptos"/>
                <w:b w:val="0"/>
                <w:sz w:val="17"/>
              </w:rPr>
              <w:t>38 test files passed.</w:t>
            </w:r>
          </w:p>
        </w:tc>
      </w:tr>
      <w:tr>
        <w:tc>
          <w:tcPr>
            <w:tcW w:type="dxa" w:w="1800"/>
            <w:vAlign w:val="center"/>
            <w:shd w:fill="F0F4F8"/>
          </w:tcPr>
          <w:p>
            <w:pPr>
              <w:spacing w:after="40" w:before="40" w:line="240" w:lineRule="auto"/>
            </w:pPr>
            <w:r/>
            <w:r>
              <w:rPr>
                <w:rFonts w:ascii="Aptos" w:hAnsi="Aptos"/>
                <w:b w:val="0"/>
                <w:sz w:val="17"/>
              </w:rPr>
              <w:t>Playwright</w:t>
            </w:r>
          </w:p>
        </w:tc>
        <w:tc>
          <w:tcPr>
            <w:tcW w:type="dxa" w:w="1440"/>
            <w:vAlign w:val="center"/>
            <w:shd w:fill="F0F4F8"/>
          </w:tcPr>
          <w:p>
            <w:pPr>
              <w:spacing w:after="40" w:before="40" w:line="240" w:lineRule="auto"/>
            </w:pPr>
            <w:r/>
            <w:r>
              <w:rPr>
                <w:rFonts w:ascii="Aptos" w:hAnsi="Aptos"/>
                <w:b w:val="0"/>
                <w:sz w:val="17"/>
              </w:rPr>
              <w:t>8 passed</w:t>
            </w:r>
          </w:p>
        </w:tc>
        <w:tc>
          <w:tcPr>
            <w:tcW w:type="dxa" w:w="6984"/>
            <w:vAlign w:val="center"/>
            <w:shd w:fill="F0F4F8"/>
          </w:tcPr>
          <w:p>
            <w:pPr>
              <w:spacing w:after="40" w:before="40" w:line="240" w:lineRule="auto"/>
            </w:pPr>
            <w:r/>
            <w:r>
              <w:rPr>
                <w:rFonts w:ascii="Aptos" w:hAnsi="Aptos"/>
                <w:b w:val="0"/>
                <w:sz w:val="17"/>
              </w:rPr>
              <w:t>Existing browser checks cover login, dashboard/navigation, invoice listing, and form rendering.</w:t>
            </w:r>
          </w:p>
        </w:tc>
      </w:tr>
      <w:tr>
        <w:tc>
          <w:tcPr>
            <w:tcW w:type="dxa" w:w="1800"/>
            <w:vAlign w:val="center"/>
          </w:tcPr>
          <w:p>
            <w:pPr>
              <w:spacing w:after="40" w:before="40" w:line="240" w:lineRule="auto"/>
            </w:pPr>
            <w:r/>
            <w:r>
              <w:rPr>
                <w:rFonts w:ascii="Aptos" w:hAnsi="Aptos"/>
                <w:b w:val="0"/>
                <w:sz w:val="17"/>
              </w:rPr>
              <w:t>Lint</w:t>
            </w:r>
          </w:p>
        </w:tc>
        <w:tc>
          <w:tcPr>
            <w:tcW w:type="dxa" w:w="1440"/>
            <w:vAlign w:val="center"/>
          </w:tcPr>
          <w:p>
            <w:pPr>
              <w:spacing w:after="40" w:before="40" w:line="240" w:lineRule="auto"/>
            </w:pPr>
            <w:r/>
            <w:r>
              <w:rPr>
                <w:rFonts w:ascii="Aptos" w:hAnsi="Aptos"/>
                <w:b w:val="0"/>
                <w:sz w:val="17"/>
              </w:rPr>
              <w:t>Fail</w:t>
            </w:r>
          </w:p>
        </w:tc>
        <w:tc>
          <w:tcPr>
            <w:tcW w:type="dxa" w:w="6984"/>
            <w:vAlign w:val="center"/>
          </w:tcPr>
          <w:p>
            <w:pPr>
              <w:spacing w:after="40" w:before="40" w:line="240" w:lineRule="auto"/>
            </w:pPr>
            <w:r/>
            <w:r>
              <w:rPr>
                <w:rFonts w:ascii="Aptos" w:hAnsi="Aptos"/>
                <w:b w:val="0"/>
                <w:sz w:val="17"/>
              </w:rPr>
              <w:t>265 errors and 550 warnings across the configured repository scan.</w:t>
            </w:r>
          </w:p>
        </w:tc>
      </w:tr>
    </w:tbl>
    <w:p>
      <w:pPr>
        <w:spacing w:after="0"/>
      </w:pPr>
    </w:p>
    <w:p>
      <w:r>
        <w:t>Test coverage limit: the browser suite does not exercise the key financial write paths, payment capture and replay, backup restoration, or attempts to cross role and organization boundaries. Passing tests therefore do not establish production safety.</w:t>
      </w:r>
    </w:p>
    <w:p>
      <w:pPr>
        <w:pStyle w:val="Heading1"/>
      </w:pPr>
      <w:r>
        <w:t>Release blockers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23"/>
            <w:vAlign w:val="center"/>
            <w:shd w:fill="243B53"/>
          </w:tcPr>
          <w:p>
            <w:pPr>
              <w:spacing w:after="40" w:before="40" w:line="240" w:lineRule="auto"/>
            </w:pPr>
            <w:r/>
            <w:r>
              <w:rPr>
                <w:rFonts w:ascii="Aptos" w:hAnsi="Aptos"/>
                <w:b/>
                <w:color w:val="FFFFFF"/>
                <w:sz w:val="15"/>
              </w:rPr>
              <w:t>Priority</w:t>
            </w:r>
          </w:p>
        </w:tc>
        <w:tc>
          <w:tcPr>
            <w:tcW w:type="dxa" w:w="2045"/>
            <w:vAlign w:val="center"/>
            <w:shd w:fill="243B53"/>
          </w:tcPr>
          <w:p>
            <w:pPr>
              <w:spacing w:after="40" w:before="40" w:line="240" w:lineRule="auto"/>
            </w:pPr>
            <w:r/>
            <w:r>
              <w:rPr>
                <w:rFonts w:ascii="Aptos" w:hAnsi="Aptos"/>
                <w:b/>
                <w:color w:val="FFFFFF"/>
                <w:sz w:val="15"/>
              </w:rPr>
              <w:t>Finding</w:t>
            </w:r>
          </w:p>
        </w:tc>
        <w:tc>
          <w:tcPr>
            <w:tcW w:type="dxa" w:w="7056"/>
            <w:vAlign w:val="center"/>
            <w:shd w:fill="243B53"/>
          </w:tcPr>
          <w:p>
            <w:pPr>
              <w:spacing w:after="40" w:before="40" w:line="240" w:lineRule="auto"/>
            </w:pPr>
            <w:r/>
            <w:r>
              <w:rPr>
                <w:rFonts w:ascii="Aptos" w:hAnsi="Aptos"/>
                <w:b/>
                <w:color w:val="FFFFFF"/>
                <w:sz w:val="15"/>
              </w:rPr>
              <w:t>Business impact and evidence</w:t>
            </w:r>
          </w:p>
        </w:tc>
      </w:tr>
      <w:tr>
        <w:tc>
          <w:tcPr>
            <w:tcW w:type="dxa" w:w="1123"/>
            <w:vAlign w:val="center"/>
          </w:tcPr>
          <w:p>
            <w:pPr>
              <w:spacing w:after="40" w:before="40" w:line="240" w:lineRule="auto"/>
            </w:pPr>
            <w:r/>
            <w:r>
              <w:rPr>
                <w:rFonts w:ascii="Aptos" w:hAnsi="Aptos"/>
                <w:b w:val="0"/>
                <w:sz w:val="15"/>
              </w:rPr>
              <w:t>Critical</w:t>
            </w:r>
          </w:p>
        </w:tc>
        <w:tc>
          <w:tcPr>
            <w:tcW w:type="dxa" w:w="2045"/>
            <w:vAlign w:val="center"/>
          </w:tcPr>
          <w:p>
            <w:pPr>
              <w:spacing w:after="40" w:before="40" w:line="240" w:lineRule="auto"/>
            </w:pPr>
            <w:r/>
            <w:r>
              <w:rPr>
                <w:rFonts w:ascii="Aptos" w:hAnsi="Aptos"/>
                <w:b w:val="0"/>
                <w:sz w:val="15"/>
              </w:rPr>
              <w:t>Authorization and tenant boundaries</w:t>
            </w:r>
          </w:p>
        </w:tc>
        <w:tc>
          <w:tcPr>
            <w:tcW w:type="dxa" w:w="7056"/>
            <w:vAlign w:val="center"/>
          </w:tcPr>
          <w:p>
            <w:pPr>
              <w:spacing w:after="40" w:before="40" w:line="240" w:lineRule="auto"/>
            </w:pPr>
            <w:r/>
            <w:r>
              <w:rPr>
                <w:rFonts w:ascii="Aptos" w:hAnsi="Aptos"/>
                <w:b w:val="0"/>
                <w:sz w:val="15"/>
              </w:rPr>
              <w:t>Approval actions accept caller-supplied organization and reviewer details. Reconciliation repair and status actions lack adequate permission checks; repair paths fetch and update records by ID without confirming organization ownership. Evidence: src/actions/approvals.ts and src/actions/reconciliation.ts.</w:t>
            </w:r>
          </w:p>
        </w:tc>
      </w:tr>
      <w:tr>
        <w:tc>
          <w:tcPr>
            <w:tcW w:type="dxa" w:w="1123"/>
            <w:vAlign w:val="center"/>
            <w:shd w:fill="F0F4F8"/>
          </w:tcPr>
          <w:p>
            <w:pPr>
              <w:spacing w:after="40" w:before="40" w:line="240" w:lineRule="auto"/>
            </w:pPr>
            <w:r/>
            <w:r>
              <w:rPr>
                <w:rFonts w:ascii="Aptos" w:hAnsi="Aptos"/>
                <w:b w:val="0"/>
                <w:sz w:val="15"/>
              </w:rPr>
              <w:t>Critical</w:t>
            </w:r>
          </w:p>
        </w:tc>
        <w:tc>
          <w:tcPr>
            <w:tcW w:type="dxa" w:w="2045"/>
            <w:vAlign w:val="center"/>
            <w:shd w:fill="F0F4F8"/>
          </w:tcPr>
          <w:p>
            <w:pPr>
              <w:spacing w:after="40" w:before="40" w:line="240" w:lineRule="auto"/>
            </w:pPr>
            <w:r/>
            <w:r>
              <w:rPr>
                <w:rFonts w:ascii="Aptos" w:hAnsi="Aptos"/>
                <w:b w:val="0"/>
                <w:sz w:val="15"/>
              </w:rPr>
              <w:t>Hard-coded session secret fallback</w:t>
            </w:r>
          </w:p>
        </w:tc>
        <w:tc>
          <w:tcPr>
            <w:tcW w:type="dxa" w:w="7056"/>
            <w:vAlign w:val="center"/>
            <w:shd w:fill="F0F4F8"/>
          </w:tcPr>
          <w:p>
            <w:pPr>
              <w:spacing w:after="40" w:before="40" w:line="240" w:lineRule="auto"/>
            </w:pPr>
            <w:r/>
            <w:r>
              <w:rPr>
                <w:rFonts w:ascii="Aptos" w:hAnsi="Aptos"/>
                <w:b w:val="0"/>
                <w:sz w:val="15"/>
              </w:rPr>
              <w:t>src/lib/auth.ts and src/lib/env.ts accept a known default signing secret. A production deployment must require a unique secret and refuse to start without it.</w:t>
            </w:r>
          </w:p>
        </w:tc>
      </w:tr>
      <w:tr>
        <w:tc>
          <w:tcPr>
            <w:tcW w:type="dxa" w:w="1123"/>
            <w:vAlign w:val="center"/>
          </w:tcPr>
          <w:p>
            <w:pPr>
              <w:spacing w:after="40" w:before="40" w:line="240" w:lineRule="auto"/>
            </w:pPr>
            <w:r/>
            <w:r>
              <w:rPr>
                <w:rFonts w:ascii="Aptos" w:hAnsi="Aptos"/>
                <w:b w:val="0"/>
                <w:sz w:val="15"/>
              </w:rPr>
              <w:t>Critical</w:t>
            </w:r>
          </w:p>
        </w:tc>
        <w:tc>
          <w:tcPr>
            <w:tcW w:type="dxa" w:w="2045"/>
            <w:vAlign w:val="center"/>
          </w:tcPr>
          <w:p>
            <w:pPr>
              <w:spacing w:after="40" w:before="40" w:line="240" w:lineRule="auto"/>
            </w:pPr>
            <w:r/>
            <w:r>
              <w:rPr>
                <w:rFonts w:ascii="Aptos" w:hAnsi="Aptos"/>
                <w:b w:val="0"/>
                <w:sz w:val="15"/>
              </w:rPr>
              <w:t>Payment webhook integrity</w:t>
            </w:r>
          </w:p>
        </w:tc>
        <w:tc>
          <w:tcPr>
            <w:tcW w:type="dxa" w:w="7056"/>
            <w:vAlign w:val="center"/>
          </w:tcPr>
          <w:p>
            <w:pPr>
              <w:spacing w:after="40" w:before="40" w:line="240" w:lineRule="auto"/>
            </w:pPr>
            <w:r/>
            <w:r>
              <w:rPr>
                <w:rFonts w:ascii="Aptos" w:hAnsi="Aptos"/>
                <w:b w:val="0"/>
                <w:sz w:val="15"/>
              </w:rPr>
              <w:t>The Razorpay webhook can set an invoice to PAID before checking that captured value matches the invoice, and a replay can add another payment. Concurrent events can also collide on count-derived payment numbers. Evidence: src/services/payment-gateway-service.ts.</w:t>
            </w:r>
          </w:p>
        </w:tc>
      </w:tr>
      <w:tr>
        <w:tc>
          <w:tcPr>
            <w:tcW w:type="dxa" w:w="1123"/>
            <w:vAlign w:val="center"/>
            <w:shd w:fill="F0F4F8"/>
          </w:tcPr>
          <w:p>
            <w:pPr>
              <w:spacing w:after="40" w:before="40" w:line="240" w:lineRule="auto"/>
            </w:pPr>
            <w:r/>
            <w:r>
              <w:rPr>
                <w:rFonts w:ascii="Aptos" w:hAnsi="Aptos"/>
                <w:b w:val="0"/>
                <w:sz w:val="15"/>
              </w:rPr>
              <w:t>High</w:t>
            </w:r>
          </w:p>
        </w:tc>
        <w:tc>
          <w:tcPr>
            <w:tcW w:type="dxa" w:w="2045"/>
            <w:vAlign w:val="center"/>
            <w:shd w:fill="F0F4F8"/>
          </w:tcPr>
          <w:p>
            <w:pPr>
              <w:spacing w:after="40" w:before="40" w:line="240" w:lineRule="auto"/>
            </w:pPr>
            <w:r/>
            <w:r>
              <w:rPr>
                <w:rFonts w:ascii="Aptos" w:hAnsi="Aptos"/>
                <w:b w:val="0"/>
                <w:sz w:val="15"/>
              </w:rPr>
              <w:t>Financial books can drift</w:t>
            </w:r>
          </w:p>
        </w:tc>
        <w:tc>
          <w:tcPr>
            <w:tcW w:type="dxa" w:w="7056"/>
            <w:vAlign w:val="center"/>
            <w:shd w:fill="F0F4F8"/>
          </w:tcPr>
          <w:p>
            <w:pPr>
              <w:spacing w:after="40" w:before="40" w:line="240" w:lineRule="auto"/>
            </w:pPr>
            <w:r/>
            <w:r>
              <w:rPr>
                <w:rFonts w:ascii="Aptos" w:hAnsi="Aptos"/>
                <w:b w:val="0"/>
                <w:sz w:val="15"/>
              </w:rPr>
              <w:t>Only new sale invoices post an accounting voucher. Invoice edits/deletes and purchases, payments, expenses, and payroll do not consistently post or reverse corresponding entries. Evidence: src/services/invoice-service.ts and src/services/accounting-service.ts.</w:t>
            </w:r>
          </w:p>
        </w:tc>
      </w:tr>
      <w:tr>
        <w:tc>
          <w:tcPr>
            <w:tcW w:type="dxa" w:w="1123"/>
            <w:vAlign w:val="center"/>
          </w:tcPr>
          <w:p>
            <w:pPr>
              <w:spacing w:after="40" w:before="40" w:line="240" w:lineRule="auto"/>
            </w:pPr>
            <w:r/>
            <w:r>
              <w:rPr>
                <w:rFonts w:ascii="Aptos" w:hAnsi="Aptos"/>
                <w:b w:val="0"/>
                <w:sz w:val="15"/>
              </w:rPr>
              <w:t>High</w:t>
            </w:r>
          </w:p>
        </w:tc>
        <w:tc>
          <w:tcPr>
            <w:tcW w:type="dxa" w:w="2045"/>
            <w:vAlign w:val="center"/>
          </w:tcPr>
          <w:p>
            <w:pPr>
              <w:spacing w:after="40" w:before="40" w:line="240" w:lineRule="auto"/>
            </w:pPr>
            <w:r/>
            <w:r>
              <w:rPr>
                <w:rFonts w:ascii="Aptos" w:hAnsi="Aptos"/>
                <w:b w:val="0"/>
                <w:sz w:val="15"/>
              </w:rPr>
              <w:t>Demo state appears operational</w:t>
            </w:r>
          </w:p>
        </w:tc>
        <w:tc>
          <w:tcPr>
            <w:tcW w:type="dxa" w:w="7056"/>
            <w:vAlign w:val="center"/>
          </w:tcPr>
          <w:p>
            <w:pPr>
              <w:spacing w:after="40" w:before="40" w:line="240" w:lineRule="auto"/>
            </w:pPr>
            <w:r/>
            <w:r>
              <w:rPr>
                <w:rFonts w:ascii="Aptos" w:hAnsi="Aptos"/>
                <w:b w:val="0"/>
                <w:sz w:val="15"/>
              </w:rPr>
              <w:t>Approval queues and warehouse transfers use in-memory arrays; the audit log UI shows seeded examples. Their contents are not durable business records. Evidence: src/lib/approvals.ts, src/actions/warehouses.ts, and src/components/audit/audit-logs-view.tsx.</w:t>
            </w:r>
          </w:p>
        </w:tc>
      </w:tr>
      <w:tr>
        <w:tc>
          <w:tcPr>
            <w:tcW w:type="dxa" w:w="1123"/>
            <w:vAlign w:val="center"/>
            <w:shd w:fill="F0F4F8"/>
          </w:tcPr>
          <w:p>
            <w:pPr>
              <w:spacing w:after="40" w:before="40" w:line="240" w:lineRule="auto"/>
            </w:pPr>
            <w:r/>
            <w:r>
              <w:rPr>
                <w:rFonts w:ascii="Aptos" w:hAnsi="Aptos"/>
                <w:b w:val="0"/>
                <w:sz w:val="15"/>
              </w:rPr>
              <w:t>High</w:t>
            </w:r>
          </w:p>
        </w:tc>
        <w:tc>
          <w:tcPr>
            <w:tcW w:type="dxa" w:w="2045"/>
            <w:vAlign w:val="center"/>
            <w:shd w:fill="F0F4F8"/>
          </w:tcPr>
          <w:p>
            <w:pPr>
              <w:spacing w:after="40" w:before="40" w:line="240" w:lineRule="auto"/>
            </w:pPr>
            <w:r/>
            <w:r>
              <w:rPr>
                <w:rFonts w:ascii="Aptos" w:hAnsi="Aptos"/>
                <w:b w:val="0"/>
                <w:sz w:val="15"/>
              </w:rPr>
              <w:t>Production database instructions conflict</w:t>
            </w:r>
          </w:p>
        </w:tc>
        <w:tc>
          <w:tcPr>
            <w:tcW w:type="dxa" w:w="7056"/>
            <w:vAlign w:val="center"/>
            <w:shd w:fill="F0F4F8"/>
          </w:tcPr>
          <w:p>
            <w:pPr>
              <w:spacing w:after="40" w:before="40" w:line="240" w:lineRule="auto"/>
            </w:pPr>
            <w:r/>
            <w:r>
              <w:rPr>
                <w:rFonts w:ascii="Aptos" w:hAnsi="Aptos"/>
                <w:b w:val="0"/>
                <w:sz w:val="15"/>
              </w:rPr>
              <w:t>Deployment instructions recommend PostgreSQL, while prisma/schema.prisma specifies SQLite. Confirm the production provider and migration strategy before deployment.</w:t>
            </w:r>
          </w:p>
        </w:tc>
      </w:tr>
      <w:tr>
        <w:tc>
          <w:tcPr>
            <w:tcW w:type="dxa" w:w="1123"/>
            <w:vAlign w:val="center"/>
          </w:tcPr>
          <w:p>
            <w:pPr>
              <w:spacing w:after="40" w:before="40" w:line="240" w:lineRule="auto"/>
            </w:pPr>
            <w:r/>
            <w:r>
              <w:rPr>
                <w:rFonts w:ascii="Aptos" w:hAnsi="Aptos"/>
                <w:b w:val="0"/>
                <w:sz w:val="15"/>
              </w:rPr>
              <w:t>High</w:t>
            </w:r>
          </w:p>
        </w:tc>
        <w:tc>
          <w:tcPr>
            <w:tcW w:type="dxa" w:w="2045"/>
            <w:vAlign w:val="center"/>
          </w:tcPr>
          <w:p>
            <w:pPr>
              <w:spacing w:after="40" w:before="40" w:line="240" w:lineRule="auto"/>
            </w:pPr>
            <w:r/>
            <w:r>
              <w:rPr>
                <w:rFonts w:ascii="Aptos" w:hAnsi="Aptos"/>
                <w:b w:val="0"/>
                <w:sz w:val="15"/>
              </w:rPr>
              <w:t>Compliance calculations are fixed</w:t>
            </w:r>
          </w:p>
        </w:tc>
        <w:tc>
          <w:tcPr>
            <w:tcW w:type="dxa" w:w="7056"/>
            <w:vAlign w:val="center"/>
          </w:tcPr>
          <w:p>
            <w:pPr>
              <w:spacing w:after="40" w:before="40" w:line="240" w:lineRule="auto"/>
            </w:pPr>
            <w:r/>
            <w:r>
              <w:rPr>
                <w:rFonts w:ascii="Aptos" w:hAnsi="Aptos"/>
                <w:b w:val="0"/>
                <w:sz w:val="15"/>
              </w:rPr>
              <w:t>GST thresholds and the displayed financial year are hard-coded. Do not present the dashboard as an authoritative tax determination or filing calculation until reviewed and configurable.</w:t>
            </w:r>
          </w:p>
        </w:tc>
      </w:tr>
    </w:tbl>
    <w:p>
      <w:pPr>
        <w:spacing w:after="0"/>
      </w:pPr>
    </w:p>
    <w:p>
      <w:pPr>
        <w:pStyle w:val="Heading1"/>
      </w:pPr>
      <w:r>
        <w:t>Feedback by feature</w:t>
      </w:r>
    </w:p>
    <w:p>
      <w:pPr>
        <w:pStyle w:val="Heading2"/>
      </w:pPr>
      <w:r>
        <w:t>Sales invoices and document lifecycle</w:t>
      </w:r>
    </w:p>
    <w:p>
      <w:pPr>
        <w:spacing w:after="40"/>
      </w:pPr>
      <w:r>
        <w:rPr>
          <w:b/>
          <w:color w:val="274967"/>
        </w:rPr>
        <w:t>Readiness: Partial</w:t>
      </w:r>
    </w:p>
    <w:p>
      <w:r>
        <w:t>The invoice, estimate, proforma, order, challan, credit-note, and debit-note surfaces are present. Document edits and deletes need a controlled lifecycle: posted records should be corrected through traceable reversals or credit/debit documents. Keep stock, payment status, numbering, tax snapshots, accounting, and audit history consistent when a document changes.</w:t>
      </w:r>
    </w:p>
    <w:p>
      <w:pPr>
        <w:spacing w:after="100"/>
      </w:pPr>
      <w:r>
        <w:rPr>
          <w:i/>
          <w:color w:val="5A646E"/>
          <w:sz w:val="16"/>
        </w:rPr>
        <w:t>Evidence: src/services/invoice-service.ts; src/lib/documents.ts</w:t>
      </w:r>
    </w:p>
    <w:p>
      <w:pPr>
        <w:pStyle w:val="Heading2"/>
      </w:pPr>
      <w:r>
        <w:t>Point of sale and checkout</w:t>
      </w:r>
    </w:p>
    <w:p>
      <w:pPr>
        <w:spacing w:after="40"/>
      </w:pPr>
      <w:r>
        <w:rPr>
          <w:b/>
          <w:color w:val="274967"/>
        </w:rPr>
        <w:t>Readiness: Partial</w:t>
      </w:r>
    </w:p>
    <w:p>
      <w:r>
        <w:t>The touch POS provides a useful counter workflow. Before live use, validate payment settlement server-side, make checkout idempotent, support voids/refunds and failed payment recovery, and reconcile shift totals to the cash drawer and payment provider.</w:t>
      </w:r>
    </w:p>
    <w:p>
      <w:pPr>
        <w:spacing w:after="100"/>
      </w:pPr>
      <w:r>
        <w:rPr>
          <w:i/>
          <w:color w:val="5A646E"/>
          <w:sz w:val="16"/>
        </w:rPr>
        <w:t>Evidence: src/components/pos/pos-view.tsx; src/services/payment-gateway-service.ts</w:t>
      </w:r>
    </w:p>
    <w:p>
      <w:pPr>
        <w:pStyle w:val="Heading2"/>
      </w:pPr>
      <w:r>
        <w:t>Payment collection and gateways</w:t>
      </w:r>
    </w:p>
    <w:p>
      <w:pPr>
        <w:spacing w:after="40"/>
      </w:pPr>
      <w:r>
        <w:rPr>
          <w:b/>
          <w:color w:val="274967"/>
        </w:rPr>
        <w:t>Readiness: Not ready for live settlement</w:t>
      </w:r>
    </w:p>
    <w:p>
      <w:r>
        <w:t>The application has gateway order creation, UPI links, verification, and webhooks. Payment creation and verification need server-owned invoice/order association, amount and currency checks, signed event replay protection, and refund/dispute handling. Avoid accepting arbitrary amounts from an unauthenticated order endpoint.</w:t>
      </w:r>
    </w:p>
    <w:p>
      <w:pPr>
        <w:spacing w:after="100"/>
      </w:pPr>
      <w:r>
        <w:rPr>
          <w:i/>
          <w:color w:val="5A646E"/>
          <w:sz w:val="16"/>
        </w:rPr>
        <w:t>Evidence: src/app/api/v1/payments/create-order/route.ts; src/app/api/v1/payments/verify/route.ts; src/services/payment-gateway-service.ts</w:t>
      </w:r>
    </w:p>
    <w:p>
      <w:pPr>
        <w:pStyle w:val="Heading2"/>
      </w:pPr>
      <w:r>
        <w:t>Purchases and operating expenses</w:t>
      </w:r>
    </w:p>
    <w:p>
      <w:pPr>
        <w:spacing w:after="40"/>
      </w:pPr>
      <w:r>
        <w:rPr>
          <w:b/>
          <w:color w:val="274967"/>
        </w:rPr>
        <w:t>Readiness: Partial</w:t>
      </w:r>
    </w:p>
    <w:p>
      <w:r>
        <w:t>Purchase and expense entry are available, but their accounting postings and reversals are incomplete. Add duplicate bill checks, supplier return handling, tax-credit rules, attachment/evidence retention, and approval thresholds before using these as complete payables records.</w:t>
      </w:r>
    </w:p>
    <w:p>
      <w:pPr>
        <w:spacing w:after="100"/>
      </w:pPr>
      <w:r>
        <w:rPr>
          <w:i/>
          <w:color w:val="5A646E"/>
          <w:sz w:val="16"/>
        </w:rPr>
        <w:t>Evidence: src/services/invoice-service.ts; src/actions/money.ts</w:t>
      </w:r>
    </w:p>
    <w:p>
      <w:pPr>
        <w:pStyle w:val="Heading2"/>
      </w:pPr>
      <w:r>
        <w:t>Items and inventory</w:t>
      </w:r>
    </w:p>
    <w:p>
      <w:pPr>
        <w:spacing w:after="40"/>
      </w:pPr>
      <w:r>
        <w:rPr>
          <w:b/>
          <w:color w:val="274967"/>
        </w:rPr>
        <w:t>Readiness: Partial</w:t>
      </w:r>
    </w:p>
    <w:p>
      <w:r>
        <w:t>The catalog, stock movement, batches, expiry dates, serial numbers, and FEFO foundations cover useful inventory needs. Enforce a clear negative-stock policy, audit every adjustment, validate organization ownership in every action, and connect warehouse transfers to actual per-location balances. The transfer screen is currently sample in-memory state.</w:t>
      </w:r>
    </w:p>
    <w:p>
      <w:pPr>
        <w:spacing w:after="100"/>
      </w:pPr>
      <w:r>
        <w:rPr>
          <w:i/>
          <w:color w:val="5A646E"/>
          <w:sz w:val="16"/>
        </w:rPr>
        <w:t>Evidence: src/lib/stock.ts; src/actions/stock-movement.ts; src/actions/warehouses.ts</w:t>
      </w:r>
    </w:p>
    <w:p>
      <w:pPr>
        <w:pStyle w:val="Heading2"/>
      </w:pPr>
      <w:r>
        <w:t>Parties and customer records</w:t>
      </w:r>
    </w:p>
    <w:p>
      <w:pPr>
        <w:spacing w:after="40"/>
      </w:pPr>
      <w:r>
        <w:rPr>
          <w:b/>
          <w:color w:val="274967"/>
        </w:rPr>
        <w:t>Readiness: Partial</w:t>
      </w:r>
    </w:p>
    <w:p>
      <w:r>
        <w:t>Customer and supplier records, opening balances, and payment history support basic CRM. Add duplicate detection and validated imports, customer statement/aging checks, supplier balance checks, and consent-linked marketing/reminder rules.</w:t>
      </w:r>
    </w:p>
    <w:p>
      <w:pPr>
        <w:spacing w:after="100"/>
      </w:pPr>
      <w:r>
        <w:rPr>
          <w:i/>
          <w:color w:val="5A646E"/>
          <w:sz w:val="16"/>
        </w:rPr>
        <w:t>Evidence: src/actions/customers.ts; src/services/customer-service.ts</w:t>
      </w:r>
    </w:p>
    <w:p>
      <w:pPr>
        <w:pStyle w:val="Heading2"/>
      </w:pPr>
      <w:r>
        <w:t>Accounting and financial statements</w:t>
      </w:r>
    </w:p>
    <w:p>
      <w:pPr>
        <w:spacing w:after="40"/>
      </w:pPr>
      <w:r>
        <w:rPr>
          <w:b/>
          <w:color w:val="274967"/>
        </w:rPr>
        <w:t>Readiness: Not reliable as a complete ledger</w:t>
      </w:r>
    </w:p>
    <w:p>
      <w:r>
        <w:t>Voucher balancing is implemented, and a sale invoice can create a double-entry voucher. However, transaction coverage is incomplete and voucher deletion is available without a reversal trail. Reconcile every source transaction to the ledger, add period locks and reversal entries, and verify Trial Balance, P&amp;L, and Balance Sheet against the same date range.</w:t>
      </w:r>
    </w:p>
    <w:p>
      <w:pPr>
        <w:spacing w:after="100"/>
      </w:pPr>
      <w:r>
        <w:rPr>
          <w:i/>
          <w:color w:val="5A646E"/>
          <w:sz w:val="16"/>
        </w:rPr>
        <w:t>Evidence: src/actions/accounting.ts; src/services/accounting-service.ts</w:t>
      </w:r>
    </w:p>
    <w:p>
      <w:pPr>
        <w:pStyle w:val="Heading2"/>
      </w:pPr>
      <w:r>
        <w:t>Cash, bank, and reconciliation</w:t>
      </w:r>
    </w:p>
    <w:p>
      <w:pPr>
        <w:spacing w:after="40"/>
      </w:pPr>
      <w:r>
        <w:rPr>
          <w:b/>
          <w:color w:val="274967"/>
        </w:rPr>
        <w:t>Readiness: Partial</w:t>
      </w:r>
    </w:p>
    <w:p>
      <w:r>
        <w:t>Cash/bank accounts and payments provide a foundation, but the reconciliation issue status is in-memory and auto-repair needs authorization, tenant scoping, transaction boundaries, a preview, and persistent evidence. Add bank-statement import/matching and auditable cash-close workflows.</w:t>
      </w:r>
    </w:p>
    <w:p>
      <w:pPr>
        <w:spacing w:after="100"/>
      </w:pPr>
      <w:r>
        <w:rPr>
          <w:i/>
          <w:color w:val="5A646E"/>
          <w:sz w:val="16"/>
        </w:rPr>
        <w:t>Evidence: src/actions/money.ts; src/actions/reconciliation.ts</w:t>
      </w:r>
    </w:p>
    <w:p>
      <w:pPr>
        <w:pStyle w:val="Heading2"/>
      </w:pPr>
      <w:r>
        <w:t>Employees, attendance, and payroll</w:t>
      </w:r>
    </w:p>
    <w:p>
      <w:pPr>
        <w:spacing w:after="40"/>
      </w:pPr>
      <w:r>
        <w:rPr>
          <w:b/>
          <w:color w:val="274967"/>
        </w:rPr>
        <w:t>Readiness: Prototype</w:t>
      </w:r>
    </w:p>
    <w:p>
      <w:r>
        <w:t>Employee and attendance flows exist. Payroll uses a fixed 22-day assumption and hard-coded statutory rates, and generation does not prevent duplicate records for a month. Configure jurisdiction-specific rules, approvals, payroll periods, payslip corrections, and salary-payment postings; obtain local payroll review before using it.</w:t>
      </w:r>
    </w:p>
    <w:p>
      <w:pPr>
        <w:spacing w:after="100"/>
      </w:pPr>
      <w:r>
        <w:rPr>
          <w:i/>
          <w:color w:val="5A646E"/>
          <w:sz w:val="16"/>
        </w:rPr>
        <w:t>Evidence: src/services/payroll-service.ts; src/actions/payroll.ts</w:t>
      </w:r>
    </w:p>
    <w:p>
      <w:pPr>
        <w:pStyle w:val="Heading2"/>
      </w:pPr>
      <w:r>
        <w:t>Approvals, work queue, and audit history</w:t>
      </w:r>
    </w:p>
    <w:p>
      <w:pPr>
        <w:spacing w:after="40"/>
      </w:pPr>
      <w:r>
        <w:rPr>
          <w:b/>
          <w:color w:val="274967"/>
        </w:rPr>
        <w:t>Readiness: Demo state</w:t>
      </w:r>
    </w:p>
    <w:p>
      <w:r>
        <w:t>The UI suggests maker-checker controls and an immutable audit trail, but approval requests are in process memory and caller-controlled. The audit screen displays mock sample records instead of reading the organization audit table. Persist records and derive actor and organization identity from the authenticated server session.</w:t>
      </w:r>
    </w:p>
    <w:p>
      <w:pPr>
        <w:spacing w:after="100"/>
      </w:pPr>
      <w:r>
        <w:rPr>
          <w:i/>
          <w:color w:val="5A646E"/>
          <w:sz w:val="16"/>
        </w:rPr>
        <w:t>Evidence: src/lib/approvals.ts; src/actions/approvals.ts; src/components/audit/audit-logs-view.tsx</w:t>
      </w:r>
    </w:p>
    <w:p>
      <w:pPr>
        <w:pStyle w:val="Heading2"/>
      </w:pPr>
      <w:r>
        <w:t>Compliance and GST reports</w:t>
      </w:r>
    </w:p>
    <w:p>
      <w:pPr>
        <w:spacing w:after="40"/>
      </w:pPr>
      <w:r>
        <w:rPr>
          <w:b/>
          <w:color w:val="274967"/>
        </w:rPr>
        <w:t>Readiness: Advisory only</w:t>
      </w:r>
    </w:p>
    <w:p>
      <w:r>
        <w:t>GST thresholds and the displayed financial year are hard-coded; the maturity registry already identifies GST reports as beta. Treat e-invoice, e-way, DPDP, and filing indicators as reminders until the relevant rules are current, configurable, independently reviewed, and tested against representative cases.</w:t>
      </w:r>
    </w:p>
    <w:p>
      <w:pPr>
        <w:spacing w:after="100"/>
      </w:pPr>
      <w:r>
        <w:rPr>
          <w:i/>
          <w:color w:val="5A646E"/>
          <w:sz w:val="16"/>
        </w:rPr>
        <w:t>Evidence: src/lib/compliance-engine.ts; src/actions/compliance.ts; src/lib/feature-maturity.ts</w:t>
      </w:r>
    </w:p>
    <w:p>
      <w:pPr>
        <w:pStyle w:val="Heading2"/>
      </w:pPr>
      <w:r>
        <w:t>Dashboard, analytics, and business reports</w:t>
      </w:r>
    </w:p>
    <w:p>
      <w:pPr>
        <w:spacing w:after="40"/>
      </w:pPr>
      <w:r>
        <w:rPr>
          <w:b/>
          <w:color w:val="274967"/>
        </w:rPr>
        <w:t>Readiness: Useful overview; verify totals</w:t>
      </w:r>
    </w:p>
    <w:p>
      <w:r>
        <w:t>Dashboards and reports expose helpful sales, receivables, cash, stock, and tax summaries. Their trust depends on consistent source transactions. Reconcile report totals to posted documents and the ledger, add date-range/time-zone checks, and clearly distinguish estimated from posted values.</w:t>
      </w:r>
    </w:p>
    <w:p>
      <w:pPr>
        <w:spacing w:after="100"/>
      </w:pPr>
      <w:r>
        <w:rPr>
          <w:i/>
          <w:color w:val="5A646E"/>
          <w:sz w:val="16"/>
        </w:rPr>
        <w:t>Evidence: src/actions/analytics.ts; src/actions/reports.ts</w:t>
      </w:r>
    </w:p>
    <w:p>
      <w:pPr>
        <w:pStyle w:val="Heading2"/>
      </w:pPr>
      <w:r>
        <w:t>Online store and customer growth tools</w:t>
      </w:r>
    </w:p>
    <w:p>
      <w:pPr>
        <w:spacing w:after="40"/>
      </w:pPr>
      <w:r>
        <w:rPr>
          <w:b/>
          <w:color w:val="274967"/>
        </w:rPr>
        <w:t>Readiness: Beta / configuration-dependent</w:t>
      </w:r>
    </w:p>
    <w:p>
      <w:r>
        <w:t>The storefront and marketing integrations broaden reach, but payment capture, consent, delivery status, retries, and server-side pricing need business-grade safeguards. Human-review OCR results before posting bills; do not let extracted data silently become accounting records.</w:t>
      </w:r>
    </w:p>
    <w:p>
      <w:pPr>
        <w:spacing w:after="100"/>
      </w:pPr>
      <w:r>
        <w:rPr>
          <w:i/>
          <w:color w:val="5A646E"/>
          <w:sz w:val="16"/>
        </w:rPr>
        <w:t>Evidence: src/actions/online-store.ts; src/actions/whatsapp-api.ts; src/lib/ai-ocr.ts</w:t>
      </w:r>
    </w:p>
    <w:p>
      <w:pPr>
        <w:pStyle w:val="Heading2"/>
      </w:pPr>
      <w:r>
        <w:t>Backup, restore, offline, mobile, and Tally</w:t>
      </w:r>
    </w:p>
    <w:p>
      <w:pPr>
        <w:spacing w:after="40"/>
      </w:pPr>
      <w:r>
        <w:rPr>
          <w:b/>
          <w:color w:val="274967"/>
        </w:rPr>
        <w:t>Readiness: Not ready as continuity controls</w:t>
      </w:r>
    </w:p>
    <w:p>
      <w:r>
        <w:t>Backup export omits important record types and restore is partial. Offline writes need conflict resolution and a durable sync queue; mobile features need device testing; Tally import/export needs round-trip balance checks. Test a full restore into a clean organization before promising recovery.</w:t>
      </w:r>
    </w:p>
    <w:p>
      <w:pPr>
        <w:spacing w:after="100"/>
      </w:pPr>
      <w:r>
        <w:rPr>
          <w:i/>
          <w:color w:val="5A646E"/>
          <w:sz w:val="16"/>
        </w:rPr>
        <w:t>Evidence: src/actions/backup.ts; src/lib/offline-sync.ts; src/actions/tally-integration.ts</w:t>
      </w:r>
    </w:p>
    <w:p>
      <w:pPr>
        <w:pStyle w:val="Heading2"/>
      </w:pPr>
      <w:r>
        <w:t>Industry-specific modules</w:t>
      </w:r>
    </w:p>
    <w:p>
      <w:pPr>
        <w:spacing w:after="40"/>
      </w:pPr>
      <w:r>
        <w:rPr>
          <w:b/>
          <w:color w:val="274967"/>
        </w:rPr>
        <w:t>Readiness: Needs vertical acceptance testing</w:t>
      </w:r>
    </w:p>
    <w:p>
      <w:r>
        <w:t>Pharmacy, salon/clinic, education, restaurant, real-estate, and service paths are represented. Each needs end-to-end acceptance tests for its actual operating rules, permissions, data retention, and compliance needs. Do not infer production readiness from a landing page or a vertical toggle.</w:t>
      </w:r>
    </w:p>
    <w:p>
      <w:pPr>
        <w:spacing w:after="100"/>
      </w:pPr>
      <w:r>
        <w:rPr>
          <w:i/>
          <w:color w:val="5A646E"/>
          <w:sz w:val="16"/>
        </w:rPr>
        <w:t>Evidence: src/lib/verticals.ts; src/app/pharmacy/page.tsx; src/app/salons/page.tsx; src/app/education/page.tsx; src/app/real-estate/page.tsx</w:t>
      </w:r>
    </w:p>
    <w:p>
      <w:pPr>
        <w:pStyle w:val="Heading2"/>
      </w:pPr>
      <w:r>
        <w:t>Team roles and multi-company use</w:t>
      </w:r>
    </w:p>
    <w:p>
      <w:pPr>
        <w:spacing w:after="40"/>
      </w:pPr>
      <w:r>
        <w:rPr>
          <w:b/>
          <w:color w:val="274967"/>
        </w:rPr>
        <w:t>Readiness: Partial</w:t>
      </w:r>
    </w:p>
    <w:p>
      <w:r>
        <w:t>Role permissions and organization-scoped queries exist in core modules, but sensitive actions are inconsistent and several writes lack fine-grained permission checks. Run an access matrix against every server action and API route using staff, warehouse, auditor, and administrator accounts in separate organizations.</w:t>
      </w:r>
    </w:p>
    <w:p>
      <w:pPr>
        <w:spacing w:after="100"/>
      </w:pPr>
      <w:r>
        <w:rPr>
          <w:i/>
          <w:color w:val="5A646E"/>
          <w:sz w:val="16"/>
        </w:rPr>
        <w:t>Evidence: src/lib/permissions.ts; src/actions/team.ts; src/lib/organization.ts</w:t>
      </w:r>
    </w:p>
    <w:p>
      <w:pPr>
        <w:pStyle w:val="Heading1"/>
      </w:pPr>
      <w:r>
        <w:t>Recommended launch sequence</w:t>
      </w:r>
    </w:p>
    <w:p>
      <w:pPr>
        <w:pStyle w:val="ListNumber"/>
        <w:spacing w:after="80"/>
      </w:pPr>
      <w:r>
        <w:rPr>
          <w:b/>
        </w:rPr>
        <w:t xml:space="preserve">P0 — Close security and payment risks. </w:t>
      </w:r>
      <w:r>
        <w:t>Require a production secret; derive organization and actor from the session; enforce server-side permissions; scope every read and write by organization; validate provider amount/currency/order; make payment events idempotent.</w:t>
      </w:r>
    </w:p>
    <w:p>
      <w:pPr>
        <w:pStyle w:val="ListNumber"/>
        <w:spacing w:after="80"/>
      </w:pPr>
      <w:r>
        <w:rPr>
          <w:b/>
        </w:rPr>
        <w:t xml:space="preserve">P0 — Make financial effects atomic and reversible. </w:t>
      </w:r>
      <w:r>
        <w:t>Define draft, posted, paid, cancelled, and corrected states. Ensure invoices, purchases, payments, expenses, stock, vouchers, and audit events update together. Correct posted records with reversals rather than silent edits.</w:t>
      </w:r>
    </w:p>
    <w:p>
      <w:pPr>
        <w:pStyle w:val="ListNumber"/>
        <w:spacing w:after="80"/>
      </w:pPr>
      <w:r>
        <w:rPr>
          <w:b/>
        </w:rPr>
        <w:t xml:space="preserve">P1 — Replace demo state and verify recovery. </w:t>
      </w:r>
      <w:r>
        <w:t>Persist approvals, warehouse transfers, audit history, and reconciliation results. Expand backup/restore to the complete data model and test a full restore.</w:t>
      </w:r>
    </w:p>
    <w:p>
      <w:pPr>
        <w:pStyle w:val="ListNumber"/>
        <w:spacing w:after="80"/>
      </w:pPr>
      <w:r>
        <w:rPr>
          <w:b/>
        </w:rPr>
        <w:t xml:space="preserve">P1 — Choose and validate the production database. </w:t>
      </w:r>
      <w:r>
        <w:t>Make schema provider, deployment guides, migration process, backup cadence, and monitoring agree. Exercise failure recovery and tenant isolation on that database.</w:t>
      </w:r>
    </w:p>
    <w:p>
      <w:pPr>
        <w:pStyle w:val="ListNumber"/>
        <w:spacing w:after="80"/>
      </w:pPr>
      <w:r>
        <w:rPr>
          <w:b/>
        </w:rPr>
        <w:t xml:space="preserve">P2 — Expand business workflow tests. </w:t>
      </w:r>
      <w:r>
        <w:t>Automate invoice to partial/full payment and refund; purchase to stock and return; expense to ledger; monthly payroll duplicate prevention; restore; webhook replay; and denied access across roles and organizations.</w:t>
      </w:r>
    </w:p>
    <w:p>
      <w:pPr>
        <w:pStyle w:val="Heading1"/>
      </w:pPr>
      <w:r>
        <w:t>Verification notes and limits</w:t>
      </w:r>
    </w:p>
    <w:p>
      <w:r>
        <w:t>The production build compiled successfully. TypeScript passed. The unit suite passed 218 tests across 38 files. Playwright passed 8 tests. Lint failed with 265 errors and 550 warnings; the current command scans scratch scripts as well as application code, so create a scoped, clean CI lint gate.</w:t>
      </w:r>
    </w:p>
    <w:p>
      <w:r>
        <w:t>This assessment is a read-only code review plus the existing automated checks. It does not certify tax, payroll, privacy, payment-provider, or security compliance. The current E2E suite is a smoke suite rather than full coverage of business mutations.</w:t>
      </w:r>
    </w:p>
    <w:p>
      <w:r>
        <w:t>During verification, the tracked prisma/dev.db file changed. Source files that appeared modified at the start were no longer reported as modified afterward. No Git cleanup or project-source edit command was run, and the reason for the status change is unknown. The database was left untouched after the checks; review or restore it only after confirming which local data you need to keep.</w:t>
      </w:r>
    </w:p>
    <w:sectPr w:rsidR="00FC693F" w:rsidRPr="0006063C" w:rsidSect="00034616">
      <w:footerReference w:type="default" r:id="rId9"/>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973"/>
        <w:sz w:val="16"/>
      </w:rPr>
      <w:t xml:space="preserve">Billora business readiness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A3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Billora Business Readiness Review</dc:title>
  <dc:subject>Feature assessment and business launch priorities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