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40"/>
        </w:rPr>
        <w:t>ACADEMIC REVIEW PAPER</w:t>
        <w:br/>
        <w:t>Customer Churn Prediction and Retention Analytics in European Retail Banking: A Systematic Literature Review</w:t>
      </w:r>
    </w:p>
    <w:p>
      <w:pPr>
        <w:jc w:val="center"/>
      </w:pPr>
      <w:r>
        <w:rPr>
          <w:i/>
          <w:color w:val="4A5568"/>
          <w:sz w:val="22"/>
        </w:rPr>
        <w:t>Systematic Review of Predictive Modeling Architectures, Machine Learning Classifiers, and Control Tower Frameworks</w:t>
        <w:br/>
        <w:t>Author: panchaksharayya12 • Repository: Global-logistic-control</w:t>
      </w:r>
    </w:p>
    <w:p>
      <w:pPr>
        <w:spacing w:after="240"/>
      </w:pPr>
    </w:p>
    <w:p>
      <w:pPr>
        <w:spacing w:before="280" w:after="80"/>
      </w:pPr>
      <w:r>
        <w:rPr>
          <w:b/>
          <w:color w:val="0A2540"/>
          <w:sz w:val="26"/>
        </w:rPr>
        <w:t>1. Abstract</w:t>
      </w:r>
    </w:p>
    <w:p>
      <w:pPr>
        <w:spacing w:after="120"/>
      </w:pPr>
      <w:r>
        <w:rPr>
          <w:sz w:val="21"/>
        </w:rPr>
        <w:t>Customer retention represents one of the most critical determinants of long-term profitability and prudential stability in European retail banking. This review paper provides a systematic literature synthesis of customer churn prediction models, comparative machine learning classifiers (Logistic Regression, Decision Trees, Random Forests, XGBoost, LightGBM, and Artificial Neural Networks), and operational control tower architectures. The review contrasts statistical parametric approaches with modern non-parametric ensemble methods and examines empirical evidence from Eurozone commercial banks across France, Germany, and Spain. Author: panchaksharayya12.</w:t>
      </w:r>
    </w:p>
    <w:p>
      <w:pPr>
        <w:spacing w:before="280" w:after="80"/>
      </w:pPr>
      <w:r>
        <w:rPr>
          <w:b/>
          <w:color w:val="0A2540"/>
          <w:sz w:val="26"/>
        </w:rPr>
        <w:t>2. Introduction &amp; Conceptual Framework</w:t>
      </w:r>
    </w:p>
    <w:p>
      <w:pPr>
        <w:spacing w:after="120"/>
      </w:pPr>
      <w:r>
        <w:rPr>
          <w:sz w:val="21"/>
        </w:rPr>
        <w:t>The deregulation of European financial services, combined with the Revised Payment Services Directive (PSD2) and open banking protocols, has drastically lowered switching costs for European consumers. Traditional deposit-taking institutions increasingly face intense competition from agile financial technology (FinTech) firms and neo-banks. In this environment, customer churn is no longer an operational friction; it directly impacts liquidity coverage ratios (LCR) and capital adequacy reserves.</w:t>
      </w:r>
    </w:p>
    <w:p>
      <w:pPr>
        <w:spacing w:before="280" w:after="80"/>
      </w:pPr>
      <w:r>
        <w:rPr>
          <w:b/>
          <w:color w:val="0A2540"/>
          <w:sz w:val="26"/>
        </w:rPr>
        <w:t>3. Systematic Review of Churn Modeling Methodologies</w:t>
      </w:r>
    </w:p>
    <w:p>
      <w:pPr>
        <w:spacing w:after="120"/>
      </w:pPr>
      <w:r>
        <w:rPr>
          <w:sz w:val="21"/>
        </w:rPr>
        <w:t>The literature identifies three primary eras of customer churn prediction:</w:t>
      </w:r>
    </w:p>
    <w:p>
      <w:pPr>
        <w:spacing w:after="120"/>
      </w:pPr>
      <w:r>
        <w:rPr>
          <w:sz w:val="21"/>
        </w:rPr>
        <w:t>• Statistical Era (1990–2005): Characterized by multivariate logistic regression, discriminant analysis, and Cox proportional hazards survival models. While interpretable, these methods fail to capture non-linear relationships such as the multi-product holding cliff.</w:t>
      </w:r>
    </w:p>
    <w:p>
      <w:pPr>
        <w:spacing w:after="120"/>
      </w:pPr>
      <w:r>
        <w:rPr>
          <w:sz w:val="21"/>
        </w:rPr>
        <w:t>• Machine Learning Era (2005–2018): Adoption of Support Vector Machines (SVM), Random Forests, and AdaBoost. These models successfully captured demographic and transactional interactions, yielding AUC improvements of 15% to 22% over linear models.</w:t>
      </w:r>
    </w:p>
    <w:p>
      <w:pPr>
        <w:spacing w:after="120"/>
      </w:pPr>
      <w:r>
        <w:rPr>
          <w:sz w:val="21"/>
        </w:rPr>
        <w:t>• Deep Learning &amp; Explainable AI Era (2018–Present): Implementation of Gradient Boosting (XGBoost, CatBoost), Graph Neural Networks (GNNs), and SHAP (SHapley Additive exPlanations) to provide explainable individual risk scores for relationship managers.</w:t>
      </w:r>
    </w:p>
    <w:p>
      <w:pPr>
        <w:spacing w:before="280" w:after="80"/>
      </w:pPr>
      <w:r>
        <w:rPr>
          <w:b/>
          <w:color w:val="0A2540"/>
          <w:sz w:val="26"/>
        </w:rPr>
        <w:t>4. Empirical Synthesis: Geographic &amp; Demographic Findings</w:t>
      </w:r>
    </w:p>
    <w:p>
      <w:pPr>
        <w:spacing w:after="120"/>
      </w:pPr>
      <w:r>
        <w:rPr>
          <w:sz w:val="21"/>
        </w:rPr>
        <w:t>The empirical literature consistently validates the core findings demonstrated in the European Central Bank 10,000 customer study:</w:t>
      </w:r>
    </w:p>
    <w:p>
      <w:pPr>
        <w:spacing w:after="120"/>
      </w:pPr>
      <w:r>
        <w:rPr>
          <w:sz w:val="21"/>
        </w:rPr>
        <w:t>1. Sovereign Disparity: German retail banking accounts exhibit structurally higher churn (32.44%) compared to France (16.15%) and Spain (16.67%), driven by German consumers' high sensitivity to negative real deposit rates and widespread adoption of digital brokerage platforms.</w:t>
      </w:r>
    </w:p>
    <w:p>
      <w:pPr>
        <w:spacing w:after="120"/>
      </w:pPr>
      <w:r>
        <w:rPr>
          <w:sz w:val="21"/>
        </w:rPr>
        <w:t>2. The Wealth Paradox: Multiple empirical studies confirm that high-net-worth depositors exhibit higher churn elasticity because they possess both the financial literacy and incentive to reallocate liquid capital to yield-bearing instruments.</w:t>
      </w:r>
    </w:p>
    <w:p>
      <w:pPr>
        <w:spacing w:after="120"/>
      </w:pPr>
      <w:r>
        <w:rPr>
          <w:sz w:val="21"/>
        </w:rPr>
        <w:t>3. The Bundling Paradox: Counter-intuitively, holding 3 or 4 products sharply increases churn probability when auxiliary accounts incur stacked maintenance fees.</w:t>
      </w:r>
    </w:p>
    <w:p>
      <w:pPr>
        <w:spacing w:before="280" w:after="80"/>
      </w:pPr>
      <w:r>
        <w:rPr>
          <w:b/>
          <w:color w:val="0A2540"/>
          <w:sz w:val="26"/>
        </w:rPr>
        <w:t>5. Operational Control Tower Integration</w:t>
      </w:r>
    </w:p>
    <w:p>
      <w:pPr>
        <w:spacing w:after="120"/>
      </w:pPr>
      <w:r>
        <w:rPr>
          <w:sz w:val="21"/>
        </w:rPr>
        <w:t>Modern banking institutions are increasingly adopting supply-chain-style 'Control Tower' frameworks. Rather than generating retrospective monthly churn reports, Control Towers provide real-time telemetry, automated early-warning alerts for account dormancy, and interactive What-If scenario modeling to test the ROI of proactive retention interventions.</w:t>
      </w:r>
    </w:p>
    <w:p>
      <w:pPr>
        <w:spacing w:before="280" w:after="80"/>
      </w:pPr>
      <w:r>
        <w:rPr>
          <w:b/>
          <w:color w:val="0A2540"/>
          <w:sz w:val="26"/>
        </w:rPr>
        <w:t>6. Conclusion &amp; Future Research Directions</w:t>
      </w:r>
    </w:p>
    <w:p>
      <w:pPr>
        <w:spacing w:after="120"/>
      </w:pPr>
      <w:r>
        <w:rPr>
          <w:sz w:val="21"/>
        </w:rPr>
        <w:t>The synthesis demonstrates that effective churn management requires shifting from generic reactive retention campaigns to segmentation-driven, localized interventions. Future research must explore causal inference in dynamic interest rate environments and real-time behavioral event streams.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