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2540"/>
          <w:sz w:val="44"/>
        </w:rPr>
        <w:t>Customer Segmentation &amp; Churn Pattern Analytics in European Banking</w:t>
      </w:r>
    </w:p>
    <w:p>
      <w:pPr>
        <w:jc w:val="center"/>
      </w:pPr>
      <w:r>
        <w:rPr>
          <w:i/>
          <w:color w:val="4A5568"/>
          <w:sz w:val="26"/>
        </w:rPr>
        <w:t>A Quantitative Empirical Research Study on Retail Banking Stability and Customer Retention in France, Germany, and Spain</w:t>
      </w:r>
    </w:p>
    <w:p>
      <w:pPr>
        <w:jc w:val="center"/>
      </w:pPr>
      <w:r>
        <w:rPr>
          <w:color w:val="718096"/>
          <w:sz w:val="20"/>
        </w:rPr>
        <w:t>Technical Research &amp; Policy Submission • Unified Mentor &amp; European Central Bank Context</w:t>
        <w:br/>
        <w:t>Lead Investigator: panchaksharayya12 • Repository: Global-logistic-control</w:t>
        <w:br/>
        <w:t>Dataset Scope: 10,000 Validated European Banking Customers</w:t>
      </w:r>
    </w:p>
    <w:p>
      <w:pPr>
        <w:spacing w:after="240"/>
      </w:pPr>
    </w:p>
    <w:p>
      <w:pPr>
        <w:spacing w:before="240" w:after="60"/>
      </w:pPr>
      <w:r>
        <w:rPr>
          <w:b/>
          <w:color w:val="0A2540"/>
          <w:sz w:val="26"/>
        </w:rPr>
        <w:t>1. Abstract</w:t>
      </w:r>
    </w:p>
    <w:p>
      <w:pPr>
        <w:spacing w:after="120"/>
      </w:pPr>
      <w:r>
        <w:rPr>
          <w:sz w:val="21"/>
        </w:rPr>
        <w:t>Customer churn represents a significant financial risk for European commercial banks by eroding lifetime value, escalating customer acquisition costs, and threatening deposit liquidity. This study provides an empirical, segmentation-driven analysis of customer churn using 10,000 customer accounts across France, Germany, and Spain. The baseline churn rate is 20.37%. Germany records an acute churn rate of 32.44% (1.59 Risk Index), customers aged 46–60 in Germany experience an extreme 67.33% churn rate, and departing customers hold 25.2% higher average balances (€91,108 vs €72,745 retained). High-balance churners account for €110.8M in capital flight. Furthermore, holding 3 or 4 products triggers 82.71% and 100% churn, highlighting defective fee structures.</w:t>
      </w:r>
    </w:p>
    <w:p>
      <w:pPr>
        <w:spacing w:before="240" w:after="60"/>
      </w:pPr>
      <w:r>
        <w:rPr>
          <w:b/>
          <w:color w:val="0A2540"/>
          <w:sz w:val="26"/>
        </w:rPr>
        <w:t>2. Problem Statement</w:t>
      </w:r>
    </w:p>
    <w:p>
      <w:pPr>
        <w:spacing w:after="120"/>
      </w:pPr>
      <w:r>
        <w:rPr>
          <w:sz w:val="21"/>
        </w:rPr>
        <w:t>European retail banks face unprecedented competition from neo-banks and rising depositor mobility. Treating churn as a single aggregate figure masks acute vulnerabilities within regional and high-net-worth sub-segments.</w:t>
      </w:r>
    </w:p>
    <w:p>
      <w:pPr>
        <w:spacing w:before="240" w:after="60"/>
      </w:pPr>
      <w:r>
        <w:rPr>
          <w:b/>
          <w:color w:val="0A2540"/>
          <w:sz w:val="26"/>
        </w:rPr>
        <w:t>3. Project Objectives</w:t>
      </w:r>
    </w:p>
    <w:p>
      <w:pPr>
        <w:spacing w:after="120"/>
      </w:pPr>
      <w:r>
        <w:rPr>
          <w:sz w:val="21"/>
        </w:rPr>
        <w:t>Primary objectives include quantifying overall churn, evaluating sovereign disparities across France, Germany, and Spain, and analyzing capital exposure among affluent depositors. Secondary objectives include testing retention policy scenarios.</w:t>
      </w:r>
    </w:p>
    <w:p>
      <w:pPr>
        <w:spacing w:before="240" w:after="60"/>
      </w:pPr>
      <w:r>
        <w:rPr>
          <w:b/>
          <w:color w:val="0A2540"/>
          <w:sz w:val="26"/>
        </w:rPr>
        <w:t>4. Dataset Scope &amp; Architecture</w:t>
      </w:r>
    </w:p>
    <w:p>
      <w:pPr>
        <w:spacing w:after="120"/>
      </w:pPr>
      <w:r>
        <w:rPr>
          <w:sz w:val="21"/>
        </w:rPr>
        <w:t>The dataset contains 10,000 verified accounts: France (5,014 / 50.14%), Germany (2,509 / 25.09%), and Spain (2,477 / 24.77%). Attributes include credit score, balance, tenure, salary, products, and activity status.</w:t>
      </w:r>
    </w:p>
    <w:p>
      <w:pPr>
        <w:spacing w:before="240" w:after="60"/>
      </w:pPr>
      <w:r>
        <w:rPr>
          <w:b/>
          <w:color w:val="0A2540"/>
          <w:sz w:val="26"/>
        </w:rPr>
        <w:t>5. Methodology</w:t>
      </w:r>
    </w:p>
    <w:p>
      <w:pPr>
        <w:spacing w:after="120"/>
      </w:pPr>
      <w:r>
        <w:rPr>
          <w:sz w:val="21"/>
        </w:rPr>
        <w:t>The methodology combines exploratory data analysis, cross-tabulation, demographic segmentation, and a what-if simulation model calibrated against empirical churn elasticity.</w:t>
      </w:r>
    </w:p>
    <w:p>
      <w:pPr>
        <w:spacing w:before="240" w:after="60"/>
      </w:pPr>
      <w:r>
        <w:rPr>
          <w:b/>
          <w:color w:val="0A2540"/>
          <w:sz w:val="26"/>
        </w:rPr>
        <w:t>6. Exploratory Data Analysis &amp; Churn Distribution</w:t>
      </w:r>
    </w:p>
    <w:p>
      <w:pPr>
        <w:spacing w:after="120"/>
      </w:pPr>
      <w:r>
        <w:rPr>
          <w:sz w:val="21"/>
        </w:rPr>
        <w:t>Overall churn rate is 20.37% (2,037 exited, 7,963 retained). Inactive customers churn at 26.85% vs 14.27% for active customers (1.88x multiplier). Female churn is 25.07% vs 16.46% for males (1.52x multiplier).</w:t>
      </w:r>
    </w:p>
    <w:p>
      <w:pPr>
        <w:spacing w:before="240" w:after="60"/>
      </w:pPr>
      <w:r>
        <w:rPr>
          <w:b/>
          <w:color w:val="0A2540"/>
          <w:sz w:val="26"/>
        </w:rPr>
        <w:t>7. Geographic Risk Analysis</w:t>
      </w:r>
    </w:p>
    <w:p>
      <w:pPr>
        <w:spacing w:after="120"/>
      </w:pPr>
      <w:r>
        <w:rPr>
          <w:sz w:val="21"/>
        </w:rPr>
        <w:t>Germany exhibits double the churn rate of Spain (16.67%) and France (16.15%). Germany accounts for €81.14M of the €185.59M total capital flight despite representing only 25% of customers.</w:t>
      </w:r>
    </w:p>
    <w:p>
      <w:pPr>
        <w:spacing w:before="240" w:after="60"/>
      </w:pPr>
      <w:r>
        <w:rPr>
          <w:b/>
          <w:color w:val="0A2540"/>
          <w:sz w:val="26"/>
        </w:rPr>
        <w:t>8. Demographic Cohort Vulnerability</w:t>
      </w:r>
    </w:p>
    <w:p>
      <w:pPr>
        <w:spacing w:after="120"/>
      </w:pPr>
      <w:r>
        <w:rPr>
          <w:sz w:val="21"/>
        </w:rPr>
        <w:t>Customers aged 46–60 exhibit peak attrition (54.21% overall, 67.33% in Germany). Under 30 customers display strong stability (7.52% churn).</w:t>
      </w:r>
    </w:p>
    <w:p>
      <w:pPr>
        <w:spacing w:before="240" w:after="60"/>
      </w:pPr>
      <w:r>
        <w:rPr>
          <w:b/>
          <w:color w:val="0A2540"/>
          <w:sz w:val="26"/>
        </w:rPr>
        <w:t>9. High-Value Financial Profile &amp; Capital Flight</w:t>
      </w:r>
    </w:p>
    <w:p>
      <w:pPr>
        <w:spacing w:after="120"/>
      </w:pPr>
      <w:r>
        <w:rPr>
          <w:sz w:val="21"/>
        </w:rPr>
        <w:t>Departing customers hold higher balances (€91,108 vs €72,745). High-balance depositors (&gt; €100k) represent €110.8M in deposit flight (81.3% of churned capital).</w:t>
      </w:r>
    </w:p>
    <w:p>
      <w:pPr>
        <w:spacing w:before="240" w:after="60"/>
      </w:pPr>
      <w:r>
        <w:rPr>
          <w:b/>
          <w:color w:val="0A2540"/>
          <w:sz w:val="26"/>
        </w:rPr>
        <w:t>10. The Product Holdings Dilemma</w:t>
      </w:r>
    </w:p>
    <w:p>
      <w:pPr>
        <w:spacing w:after="120"/>
      </w:pPr>
      <w:r>
        <w:rPr>
          <w:sz w:val="21"/>
        </w:rPr>
        <w:t>Holding 2 products is optimal (7.58% churn). Holding 3 products spikes to 82.71% churn, and 4 products hits 100% churn due to punitive bundled maintenance fees.</w:t>
      </w:r>
    </w:p>
    <w:p>
      <w:pPr>
        <w:spacing w:before="240" w:after="60"/>
      </w:pPr>
      <w:r>
        <w:rPr>
          <w:b/>
          <w:color w:val="0A2540"/>
          <w:sz w:val="26"/>
        </w:rPr>
        <w:t>11. Strategic Policy Recommendations</w:t>
      </w:r>
    </w:p>
    <w:p>
      <w:pPr>
        <w:spacing w:after="120"/>
      </w:pPr>
      <w:r>
        <w:rPr>
          <w:sz w:val="21"/>
        </w:rPr>
        <w:t>Abolish multi-product maintenance fees, deploy VIP wealth concierge managers for German accounts &gt; €100k, and offer a +0.50% interest bonus on liquid balances &gt; €50k.</w:t>
      </w:r>
    </w:p>
    <w:p>
      <w:pPr>
        <w:spacing w:before="240" w:after="60"/>
      </w:pPr>
      <w:r>
        <w:rPr>
          <w:b/>
          <w:color w:val="0A2540"/>
          <w:sz w:val="26"/>
        </w:rPr>
        <w:t>12. Regulatory Governance &amp; Conclusion</w:t>
      </w:r>
    </w:p>
    <w:p>
      <w:pPr>
        <w:spacing w:after="120"/>
      </w:pPr>
      <w:r>
        <w:rPr>
          <w:sz w:val="21"/>
        </w:rPr>
        <w:t>Prudential alignment with European Central Bank liquidity coverage standards requires continuous monitoring of high-balance depositor concentrations. Project conducted by panchaksharayya12.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