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540"/>
          <w:sz w:val="36"/>
        </w:rPr>
        <w:t>EXECUTIVE SUMMARY FOR GOVERNMENT &amp; REGULATORY STAKEHOLDERS</w:t>
      </w:r>
    </w:p>
    <w:p>
      <w:pPr>
        <w:jc w:val="center"/>
      </w:pPr>
      <w:r>
        <w:rPr>
          <w:i/>
          <w:color w:val="4A5568"/>
          <w:sz w:val="22"/>
        </w:rPr>
        <w:t>Customer Deposit Flight, Regional Churn Asymmetry, and Retail Banking Resilience in the European Union</w:t>
        <w:br/>
        <w:t>Prepared for European Central Bank (ECB) &amp; National Supervisory Authorities</w:t>
      </w:r>
    </w:p>
    <w:p>
      <w:pPr>
        <w:spacing w:after="200"/>
      </w:pPr>
    </w:p>
    <w:p>
      <w:pPr>
        <w:spacing w:before="240" w:after="80"/>
      </w:pPr>
      <w:r>
        <w:rPr>
          <w:b/>
          <w:color w:val="0A2540"/>
          <w:sz w:val="26"/>
        </w:rPr>
        <w:t>1. Context &amp; Purpose of Briefing</w:t>
      </w:r>
    </w:p>
    <w:p>
      <w:r>
        <w:t>This executive briefing provides supervisory authorities and government stakeholders with an empirical evaluation of customer attrition and deposit flight dynamics across 10,000 retail banking accounts in France, Germany, and Spain. In an evolving macroeconomic environment, retail deposit stickiness represents a fundamental pillar of liquidity coverage and consumer financial stability.</w:t>
      </w:r>
    </w:p>
    <w:p>
      <w:pPr>
        <w:spacing w:before="240" w:after="80"/>
      </w:pPr>
      <w:r>
        <w:rPr>
          <w:b/>
          <w:color w:val="0A2540"/>
          <w:sz w:val="26"/>
        </w:rPr>
        <w:t>2. Key Empirical Findings</w:t>
      </w:r>
    </w:p>
    <w:p>
      <w:pPr>
        <w:pStyle w:val="ListBullet"/>
      </w:pPr>
      <w:r>
        <w:t>• Overall System Churn Rate: Observed at 20.37%, indicating that more than 1 in 5 banking relationships terminated.</w:t>
      </w:r>
    </w:p>
    <w:p>
      <w:pPr>
        <w:pStyle w:val="ListBullet"/>
      </w:pPr>
      <w:r>
        <w:t>• Acute Geographic Asymmetry: German banking operations recorded an attrition rate of 32.44% (Risk Index: 1.59), nearly double that of France (16.15%) and Spain (16.67%).</w:t>
      </w:r>
    </w:p>
    <w:p>
      <w:pPr>
        <w:pStyle w:val="ListBullet"/>
      </w:pPr>
      <w:r>
        <w:t>• Severe Vulnerability in Mature Wealth Demographic: Customers aged 46–60 experience 67.33% churn in Germany and over 40% in France and Spain, signaling systemic disaffection among core accumulated-wealth savers.</w:t>
      </w:r>
    </w:p>
    <w:p>
      <w:pPr>
        <w:pStyle w:val="ListBullet"/>
      </w:pPr>
      <w:r>
        <w:t>• Balance Exposure Exceeding €110 Million: Churned high-balance accounts (&gt;€100k) represent approximately €110.8 million in deposit flight, with churned clients holding higher average balances (€91.1k) than retained clients (€72.7k).</w:t>
      </w:r>
    </w:p>
    <w:p>
      <w:pPr>
        <w:pStyle w:val="ListBullet"/>
      </w:pPr>
      <w:r>
        <w:t>• Inactivity as a Strong Pre-Exit Indicator: Inactive accounts exhibited a 26.85% churn rate compared to 14.27% for actively transacting customers.</w:t>
      </w:r>
    </w:p>
    <w:p>
      <w:pPr>
        <w:spacing w:before="240" w:after="80"/>
      </w:pPr>
      <w:r>
        <w:rPr>
          <w:b/>
          <w:color w:val="0A2540"/>
          <w:sz w:val="26"/>
        </w:rPr>
        <w:t>3. Regulatory &amp; Supervisory Implications</w:t>
      </w:r>
    </w:p>
    <w:p>
      <w:r>
        <w:t>1. Liquidity Coverage &amp; Deposit Concentration Risk: The concentration of churn among high-balance deposit holders poses potential liquidity outflow risks during stress periods. Supervisors should encourage internal stress testing that accounts for demographic-specific deposit velocity.</w:t>
      </w:r>
    </w:p>
    <w:p>
      <w:r>
        <w:t>2. Cross-Border Retail Banking Competitiveness: The sharp divergence between Germany (32.44%) and Western peers suggests structural competitive disadvantages, digital onboarding frictions, or fee resistance in specific national markets that warrant supervisory market conduct reviews.</w:t>
      </w:r>
    </w:p>
    <w:p>
      <w:r>
        <w:t>3. Consumer Protection &amp; Fair Value in Wealth Products: The dramatic exit of middle-aged savers (46–60) highlights potential mismatches in wealth preservation and retirement products, requiring institutions to evaluate product fair value under consumer duty frameworks.</w:t>
      </w:r>
    </w:p>
    <w:p>
      <w:pPr>
        <w:spacing w:before="240" w:after="80"/>
      </w:pPr>
      <w:r>
        <w:rPr>
          <w:b/>
          <w:color w:val="0A2540"/>
          <w:sz w:val="26"/>
        </w:rPr>
        <w:t>4. Recommended Policy Interventions for Institutions</w:t>
      </w:r>
    </w:p>
    <w:p>
      <w:pPr>
        <w:pStyle w:val="ListBullet"/>
      </w:pPr>
      <w:r>
        <w:t>• Mandatory Early-Warning Engagement Triggers: Require institutions to monitor 60-day account inactivity and deploy customer care outreach before relationship termination.</w:t>
      </w:r>
    </w:p>
    <w:p>
      <w:pPr>
        <w:pStyle w:val="ListBullet"/>
      </w:pPr>
      <w:r>
        <w:t>• Tailored Wealth-Preservation Bundles: Develop transparent, fee-competitive wealth management solutions for the 46–60 demographic.</w:t>
      </w:r>
    </w:p>
    <w:p>
      <w:pPr>
        <w:pStyle w:val="ListBullet"/>
      </w:pPr>
      <w:r>
        <w:t>• Deployment of Interactive Churn Surveillance: Operationalize real-time analytical dashboards (such as the developed Streamlit platform) across branch networks to transition from reactive churn tracking to proactive retention.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