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540"/>
          <w:sz w:val="40"/>
        </w:rPr>
        <w:t>TECHNICAL PROJECT REPORT</w:t>
        <w:br/>
        <w:t>TRANSITIQ — Global Logistics Control Tower</w:t>
      </w:r>
    </w:p>
    <w:p>
      <w:pPr>
        <w:jc w:val="center"/>
      </w:pPr>
      <w:r>
        <w:rPr>
          <w:i/>
          <w:color w:val="4A5568"/>
          <w:sz w:val="22"/>
        </w:rPr>
        <w:t>Delivery Performance, Delay Risk, and Logistics Efficiency Analysis in Global Supply Chain Operations</w:t>
        <w:br/>
        <w:t>Author: panchaksharayya12 • GitHub: Global-logistic-control</w:t>
      </w:r>
    </w:p>
    <w:p>
      <w:pPr>
        <w:spacing w:after="240"/>
      </w:pPr>
    </w:p>
    <w:p>
      <w:pPr>
        <w:spacing w:before="280" w:after="80"/>
      </w:pPr>
      <w:r>
        <w:rPr>
          <w:b/>
          <w:color w:val="0A2540"/>
          <w:sz w:val="26"/>
        </w:rPr>
        <w:t>1. Executive Summary &amp; Operational Scope</w:t>
      </w:r>
    </w:p>
    <w:p>
      <w:pPr>
        <w:spacing w:after="120"/>
      </w:pPr>
      <w:r>
        <w:rPr>
          <w:sz w:val="21"/>
        </w:rPr>
        <w:t>This technical project report documents the comprehensive design, architectural engineering, and algorithmic implementation of TRANSITIQ — Global Logistics Control Tower. Engineered by panchaksharayya12, the platform provides end-to-end operational visibility across 128 maritime, air, and intermodal terminals worldwide. By fusing real-time AIS vessel telemetry, carrier scheduling records, and weather anomaly alerts, TRANSITIQ enables supply chain managers to detect bottlenecks, quantify at-risk cargo (€48.2M baseline exposure), and simulate mitigation corridors.</w:t>
      </w:r>
    </w:p>
    <w:p>
      <w:pPr>
        <w:spacing w:before="280" w:after="80"/>
      </w:pPr>
      <w:r>
        <w:rPr>
          <w:b/>
          <w:color w:val="0A2540"/>
          <w:sz w:val="26"/>
        </w:rPr>
        <w:t>2. System Architecture &amp; Command Center Framework</w:t>
      </w:r>
    </w:p>
    <w:p>
      <w:pPr>
        <w:spacing w:after="120"/>
      </w:pPr>
      <w:r>
        <w:rPr>
          <w:sz w:val="21"/>
        </w:rPr>
        <w:t>The TRANSITIQ platform is structured as an operational command tower rather than a static reporting dashboard. The architecture follows a four-tier operational paradigm:</w:t>
      </w:r>
    </w:p>
    <w:p>
      <w:pPr>
        <w:spacing w:after="120"/>
      </w:pPr>
      <w:r>
        <w:rPr>
          <w:sz w:val="21"/>
        </w:rPr>
        <w:t>• Real-Time Telemetry Layer: Continuous polling of GPS coordinates, port dwell times, and vessel positions across 8 strategic global corridors.</w:t>
      </w:r>
    </w:p>
    <w:p>
      <w:pPr>
        <w:spacing w:after="120"/>
      </w:pPr>
      <w:r>
        <w:rPr>
          <w:sz w:val="21"/>
        </w:rPr>
        <w:t>• Delay Intelligence &amp; Predictive Diagnostics Layer: Algorithmic assessment of transit bottlenecks (port berth queues, monsoon weather delays, customs inspections, and carrier blank sailings).</w:t>
      </w:r>
    </w:p>
    <w:p>
      <w:pPr>
        <w:spacing w:after="120"/>
      </w:pPr>
      <w:r>
        <w:rPr>
          <w:sz w:val="21"/>
        </w:rPr>
        <w:t>• Simulation &amp; What-If Modeler: Fast-track modal shifting (Ocean to Air), canal bypass calculations (Cape of Good Hope vs. Suez wait), and safety buffer sizing.</w:t>
      </w:r>
    </w:p>
    <w:p>
      <w:pPr>
        <w:spacing w:after="120"/>
      </w:pPr>
      <w:r>
        <w:rPr>
          <w:sz w:val="21"/>
        </w:rPr>
        <w:t>• Closed-Loop Action Center: Kanban task dispatch (Critical, In Progress, Resolved) with automated carrier SLA breach penalties.</w:t>
      </w:r>
    </w:p>
    <w:p>
      <w:pPr>
        <w:spacing w:before="280" w:after="80"/>
      </w:pPr>
      <w:r>
        <w:rPr>
          <w:b/>
          <w:color w:val="0A2540"/>
          <w:sz w:val="26"/>
        </w:rPr>
        <w:t>3. Multimodal Transportation Performance</w:t>
      </w:r>
    </w:p>
    <w:p>
      <w:pPr>
        <w:spacing w:after="120"/>
      </w:pPr>
      <w:r>
        <w:rPr>
          <w:sz w:val="21"/>
        </w:rPr>
        <w:t>The operational data evaluates delivery performance across four core modes: Ocean Container (Sea), Air Freight Express, Overland Road Transport, and Rail Intermodal:</w:t>
      </w:r>
    </w:p>
    <w:p>
      <w:pPr>
        <w:spacing w:after="120"/>
      </w:pPr>
      <w:r>
        <w:rPr>
          <w:sz w:val="21"/>
        </w:rPr>
        <w:t>• Ocean Freight: 18.2% delay rate, 62.0 hours average delay severity, $0.08 / ton-km unit cost. Most vulnerable to port berth congestion (Singapore, Rotterdam).</w:t>
      </w:r>
    </w:p>
    <w:p>
      <w:pPr>
        <w:spacing w:after="120"/>
      </w:pPr>
      <w:r>
        <w:rPr>
          <w:sz w:val="21"/>
        </w:rPr>
        <w:t>• Air Freight: 6.4% delay rate, 8.5 hours average delay severity, $1.45 / ton-km unit cost. 93.6% on-time delivery rate, serving as the primary fast-track recovery corridor.</w:t>
      </w:r>
    </w:p>
    <w:p>
      <w:pPr>
        <w:spacing w:after="120"/>
      </w:pPr>
      <w:r>
        <w:rPr>
          <w:sz w:val="21"/>
        </w:rPr>
        <w:t>• Road Freight: 12.8% delay rate, 14.2 hours average delay severity, $0.32 / ton-km unit cost. Vulnerable to border customs inspections.</w:t>
      </w:r>
    </w:p>
    <w:p>
      <w:pPr>
        <w:spacing w:after="120"/>
      </w:pPr>
      <w:r>
        <w:rPr>
          <w:sz w:val="21"/>
        </w:rPr>
        <w:t>• Rail Intermodal: 9.1% delay rate, 22.0 hours average delay severity, $0.14 / ton-km unit cost. Highly reliable Eurasian landbridge alternative.</w:t>
      </w:r>
    </w:p>
    <w:p>
      <w:pPr>
        <w:spacing w:before="280" w:after="80"/>
      </w:pPr>
      <w:r>
        <w:rPr>
          <w:b/>
          <w:color w:val="0A2540"/>
          <w:sz w:val="26"/>
        </w:rPr>
        <w:t>4. Database Schema &amp; Supabase Integration</w:t>
      </w:r>
    </w:p>
    <w:p>
      <w:pPr>
        <w:spacing w:after="120"/>
      </w:pPr>
      <w:r>
        <w:rPr>
          <w:sz w:val="21"/>
        </w:rPr>
        <w:t>The platform integrates Supabase PostgreSQL for enterprise-grade persistence. Relational schemas include 'shipments' (shipment ID, origin, destination, carrier, modal type, SLA delay hours), 'terminals' (port coordinates, berth wait queue, operational status), and 'mitigation_actions' (task dispatch, carrier dispute logs). Row Level Security (RLS) guarantees data privacy.</w:t>
      </w:r>
    </w:p>
    <w:p>
      <w:pPr>
        <w:spacing w:before="280" w:after="80"/>
      </w:pPr>
      <w:r>
        <w:rPr>
          <w:b/>
          <w:color w:val="0A2540"/>
          <w:sz w:val="26"/>
        </w:rPr>
        <w:t>5. Cloud Deployment &amp; Vercel Edge Hosting</w:t>
      </w:r>
    </w:p>
    <w:p>
      <w:pPr>
        <w:spacing w:after="120"/>
      </w:pPr>
      <w:r>
        <w:rPr>
          <w:sz w:val="21"/>
        </w:rPr>
        <w:t>Configured for automated continuous deployment via GitHub to the Vercel Edge Network. The vercel.json routing rewrite guarantees Single Page Application (SPA) routing without 404 errors across all deep routes (/command-center, /network, /performance, /delay-intelligence, /shipping-modes, /regions, /shipments, /simulator, /actions, /reports).</w:t>
      </w:r>
    </w:p>
    <w:p>
      <w:pPr>
        <w:spacing w:after="120"/>
      </w:pPr>
      <w:r>
        <w:rPr>
          <w:sz w:val="21"/>
        </w:rPr>
        <w:t>Repository Link: https://github.com/panchaksharayya12/Global-logistic-control.git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