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3EAF" w14:textId="3342C5F8" w:rsidR="00C05C3C" w:rsidRDefault="00C05C3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SUPPLEMENTARY MATERIALS</w:t>
      </w:r>
    </w:p>
    <w:p w14:paraId="37C60063" w14:textId="17677F10" w:rsidR="00796CD8" w:rsidRDefault="003651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Strain, culture condition and acetic acid treatment</w:t>
      </w:r>
    </w:p>
    <w:p w14:paraId="42099EDF" w14:textId="77777777" w:rsidR="00796CD8" w:rsidRDefault="003651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S. cerevisiae </w:t>
      </w:r>
      <w:r>
        <w:rPr>
          <w:rFonts w:ascii="Times New Roman" w:eastAsia="Times New Roman" w:hAnsi="Times New Roman" w:cs="Times New Roman"/>
          <w:sz w:val="24"/>
          <w:szCs w:val="24"/>
        </w:rPr>
        <w:t xml:space="preserve">strain used in this work was W303-1B (MATα, </w:t>
      </w:r>
      <w:r>
        <w:rPr>
          <w:rFonts w:ascii="Times New Roman" w:eastAsia="Times New Roman" w:hAnsi="Times New Roman" w:cs="Times New Roman"/>
          <w:i/>
          <w:sz w:val="24"/>
          <w:szCs w:val="24"/>
        </w:rPr>
        <w:t>ade2 leu2 his3 trp1ura3</w:t>
      </w:r>
      <w:r>
        <w:rPr>
          <w:rFonts w:ascii="Times New Roman" w:eastAsia="Times New Roman" w:hAnsi="Times New Roman" w:cs="Times New Roman"/>
          <w:sz w:val="24"/>
          <w:szCs w:val="24"/>
        </w:rPr>
        <w:t>). Cells were transformed by lithium acetate procedure with the episomal plasmid pYES2 containing or not the human BRCA2 cDNA under the control of yeast galactose-inducible promoter pGAL1 (Guaragnella et al 2014). The transformants, named Y-</w:t>
      </w:r>
      <w:proofErr w:type="spellStart"/>
      <w:r>
        <w:rPr>
          <w:rFonts w:ascii="Times New Roman" w:eastAsia="Times New Roman" w:hAnsi="Times New Roman" w:cs="Times New Roman"/>
          <w:sz w:val="24"/>
          <w:szCs w:val="24"/>
        </w:rPr>
        <w:t>pYES</w:t>
      </w:r>
      <w:proofErr w:type="spellEnd"/>
      <w:r>
        <w:rPr>
          <w:rFonts w:ascii="Times New Roman" w:eastAsia="Times New Roman" w:hAnsi="Times New Roman" w:cs="Times New Roman"/>
          <w:sz w:val="24"/>
          <w:szCs w:val="24"/>
        </w:rPr>
        <w:t xml:space="preserve"> and Y-BRCA2 respectively, were selected on synthetic complete medium containing 2% dextrose without uracil (SCD-URA). For maintenance of this strain, the growth is possible on YPD (1 % yeast extract, 2 % </w:t>
      </w:r>
      <w:proofErr w:type="spellStart"/>
      <w:r>
        <w:rPr>
          <w:rFonts w:ascii="Times New Roman" w:eastAsia="Times New Roman" w:hAnsi="Times New Roman" w:cs="Times New Roman"/>
          <w:sz w:val="24"/>
          <w:szCs w:val="24"/>
        </w:rPr>
        <w:t>bactopeptone</w:t>
      </w:r>
      <w:proofErr w:type="spellEnd"/>
      <w:r>
        <w:rPr>
          <w:rFonts w:ascii="Times New Roman" w:eastAsia="Times New Roman" w:hAnsi="Times New Roman" w:cs="Times New Roman"/>
          <w:sz w:val="24"/>
          <w:szCs w:val="24"/>
        </w:rPr>
        <w:t xml:space="preserve"> and 2% dextrose) or SCD-URA.</w:t>
      </w:r>
    </w:p>
    <w:p w14:paraId="0620A0BD" w14:textId="77777777" w:rsidR="00796CD8" w:rsidRDefault="003651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improved BRCA2 expression we used the experimental conditions described in </w:t>
      </w:r>
      <w:r w:rsidR="00460888">
        <w:rPr>
          <w:rFonts w:ascii="Times New Roman" w:eastAsia="Times New Roman" w:hAnsi="Times New Roman" w:cs="Times New Roman"/>
          <w:sz w:val="24"/>
          <w:szCs w:val="24"/>
        </w:rPr>
        <w:fldChar w:fldCharType="begin"/>
      </w:r>
      <w:r w:rsidR="00460888">
        <w:rPr>
          <w:rFonts w:ascii="Times New Roman" w:eastAsia="Times New Roman" w:hAnsi="Times New Roman" w:cs="Times New Roman"/>
          <w:sz w:val="24"/>
          <w:szCs w:val="24"/>
        </w:rPr>
        <w:instrText xml:space="preserve"> ADDIN ZOTERO_ITEM CSL_CITATION {"citationID":"W53ztPxb","properties":{"formattedCitation":"[1]","plainCitation":"[1]","noteIndex":0},"citationItems":[{"id":168,"uris":["http://zotero.org/users/8035094/items/A7A4VRLU"],"uri":["http://zotero.org/users/8035094/items/A7A4VRLU"],"itemData":{"id":168,"type":"article-journal","abstract":"BRCA2 is a tumor suppressor that functions in homologous recombination, a key genomic integrity pathway. BRCA2 interacts with RAD51, the central protein of recombination, which forms filaments on single-stranded DNA (ssDNA) to perform homology search and DNA strand invasion. We report the purification of full-length human BRCA2 and show that it binds to ~6 RAD51 molecules and promotes RAD51 binding to ssDNA coated by replication protein A (RPA), in a manner that is stimulated by DSS1.","container-title":"Nature Structural &amp; Molecular Biology","DOI":"10.1038/nsmb.1904","ISSN":"1545-9985","issue":"10","journalAbbreviation":"Nat Struct Mol Biol","language":"eng","note":"PMID: 20729859\nPMCID: PMC2952495","page":"1260-1262","source":"PubMed","title":"Human BRCA2 protein promotes RAD51 filament formation on RPA-covered single-stranded DNA","volume":"17","author":[{"family":"Liu","given":"Jie"},{"family":"Doty","given":"Tammy"},{"family":"Gibson","given":"Bryan"},{"family":"Heyer","given":"Wolf-Dietrich"}],"issued":{"date-parts":[["2010",10]]}}}],"schema":"https://github.com/citation-style-language/schema/raw/master/csl-citation.json"} </w:instrText>
      </w:r>
      <w:r w:rsidR="00460888">
        <w:rPr>
          <w:rFonts w:ascii="Times New Roman" w:eastAsia="Times New Roman" w:hAnsi="Times New Roman" w:cs="Times New Roman"/>
          <w:sz w:val="24"/>
          <w:szCs w:val="24"/>
        </w:rPr>
        <w:fldChar w:fldCharType="separate"/>
      </w:r>
      <w:r w:rsidR="00460888" w:rsidRPr="00460888">
        <w:rPr>
          <w:rFonts w:ascii="Times New Roman" w:hAnsi="Times New Roman" w:cs="Times New Roman"/>
          <w:sz w:val="24"/>
        </w:rPr>
        <w:t>[1]</w:t>
      </w:r>
      <w:r w:rsidR="0046088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modified as follows. In brief, a single colony of Y-</w:t>
      </w:r>
      <w:proofErr w:type="spellStart"/>
      <w:r>
        <w:rPr>
          <w:rFonts w:ascii="Times New Roman" w:eastAsia="Times New Roman" w:hAnsi="Times New Roman" w:cs="Times New Roman"/>
          <w:sz w:val="24"/>
          <w:szCs w:val="24"/>
        </w:rPr>
        <w:t>pYES</w:t>
      </w:r>
      <w:proofErr w:type="spellEnd"/>
      <w:r>
        <w:rPr>
          <w:rFonts w:ascii="Times New Roman" w:eastAsia="Times New Roman" w:hAnsi="Times New Roman" w:cs="Times New Roman"/>
          <w:sz w:val="24"/>
          <w:szCs w:val="24"/>
        </w:rPr>
        <w:t xml:space="preserve"> and Y-BRCA2 was grown in SC containing 3% glycerol, 0.5% ethanol and 0.5% dextrose without uracil (SC-GED-URA) for about 16 hours at 30° at 160 rpm. Cells were washed twice to remove medium and re-suspended in SC containing 2% galactose (SC-Gal) at initial OD</w:t>
      </w:r>
      <w:r>
        <w:rPr>
          <w:rFonts w:ascii="Times New Roman" w:eastAsia="Times New Roman" w:hAnsi="Times New Roman" w:cs="Times New Roman"/>
          <w:sz w:val="24"/>
          <w:szCs w:val="24"/>
          <w:vertAlign w:val="subscript"/>
        </w:rPr>
        <w:t>600</w:t>
      </w:r>
      <w:r>
        <w:rPr>
          <w:rFonts w:ascii="Times New Roman" w:eastAsia="Times New Roman" w:hAnsi="Times New Roman" w:cs="Times New Roman"/>
          <w:sz w:val="24"/>
          <w:szCs w:val="24"/>
        </w:rPr>
        <w:t xml:space="preserve">=0.5 for induction and incubated at 26° C at 160 rpm for about 16 hours. </w:t>
      </w:r>
    </w:p>
    <w:p w14:paraId="7F2BEDDB" w14:textId="380A7322" w:rsidR="00796CD8" w:rsidRPr="00635C78" w:rsidRDefault="003651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induction of RCD with acetic acid (AA) treatment, a single colony of Y-</w:t>
      </w:r>
      <w:proofErr w:type="spellStart"/>
      <w:r>
        <w:rPr>
          <w:rFonts w:ascii="Times New Roman" w:eastAsia="Times New Roman" w:hAnsi="Times New Roman" w:cs="Times New Roman"/>
          <w:sz w:val="24"/>
          <w:szCs w:val="24"/>
        </w:rPr>
        <w:t>pYES</w:t>
      </w:r>
      <w:proofErr w:type="spellEnd"/>
      <w:r>
        <w:rPr>
          <w:rFonts w:ascii="Times New Roman" w:eastAsia="Times New Roman" w:hAnsi="Times New Roman" w:cs="Times New Roman"/>
          <w:sz w:val="24"/>
          <w:szCs w:val="24"/>
        </w:rPr>
        <w:t xml:space="preserve"> and Y-BRCA2 was grown in SC-GED-URA for about 16 hours at 30 °C at 160 rpm. Cells were washed twice to remove medium and re-suspended in SC-Gal from initial OD</w:t>
      </w:r>
      <w:r>
        <w:rPr>
          <w:rFonts w:ascii="Times New Roman" w:eastAsia="Times New Roman" w:hAnsi="Times New Roman" w:cs="Times New Roman"/>
          <w:sz w:val="24"/>
          <w:szCs w:val="24"/>
          <w:vertAlign w:val="subscript"/>
        </w:rPr>
        <w:t>600</w:t>
      </w:r>
      <w:r>
        <w:rPr>
          <w:rFonts w:ascii="Times New Roman" w:eastAsia="Times New Roman" w:hAnsi="Times New Roman" w:cs="Times New Roman"/>
          <w:sz w:val="24"/>
          <w:szCs w:val="24"/>
        </w:rPr>
        <w:t>=0.5. Then, cells were resuspended (10</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xml:space="preserve"> cells/ml) in SC-Gal adjusted to pH 3.00 with HCl, in the absence (control) or in the presence of AA and incubated for different times at 26° C </w:t>
      </w:r>
      <w:r w:rsidR="00460888">
        <w:rPr>
          <w:rFonts w:ascii="Times New Roman" w:eastAsia="Times New Roman" w:hAnsi="Times New Roman" w:cs="Times New Roman"/>
          <w:sz w:val="24"/>
          <w:szCs w:val="24"/>
        </w:rPr>
        <w:fldChar w:fldCharType="begin"/>
      </w:r>
      <w:r w:rsidR="00460888">
        <w:rPr>
          <w:rFonts w:ascii="Times New Roman" w:eastAsia="Times New Roman" w:hAnsi="Times New Roman" w:cs="Times New Roman"/>
          <w:sz w:val="24"/>
          <w:szCs w:val="24"/>
        </w:rPr>
        <w:instrText xml:space="preserve"> ADDIN ZOTERO_ITEM CSL_CITATION {"citationID":"A7ezJaYs","properties":{"formattedCitation":"[2]","plainCitation":"[2]","noteIndex":0},"citationItems":[{"id":129,"uris":["http://zotero.org/users/8035094/items/MZCR74AI"],"uri":["http://zotero.org/users/8035094/items/MZCR74AI"],"itemData":{"id":129,"type":"article-journal","abstract":"In this work evidence is presented that acid stress adaptation protects Saccharomyces cerevisiae from acetic acid-mediated programmed cell death. Exponential-phase yeast cells, non-adapted or adapted to acid stress by 30 min incubation in rich medium set at pH 3.0 with HCl, have been exposed to increasing concentrations of acetic acid and time course changes of cell viability have been assessed. Adapted cells, in contrast to non-adapted cells, when exposed to 80 mM acetic acid for 200 min did not display loss of cell viability associated to morphological alterations typical of apoptosis. Thus, 80 mM acetic acid death-inducing conditions were selected to further characterize the early molecular events leading to such active cell death process. Catalase was specifically activated during acid stress adaptation and protection against acetic acid-induced death was associated with maintenance of its activity during treatment with 80 mM acetic acid. On the other hand, intracellular superoxide dismutase activity was found present at comparable levels both in adapted and in dying yeast cells, excepting in non-adapted cells which displayed a maximum activity value after 15 min acetic acid exposure, corresponding to more than 80% cell viability. This study gives first experimental evidence that H2O2, rather than superoxide, detoxification may have a major role in preventing yeast cell death in response to acetic acid. The results, as a whole, suggest that commitment of S. cerevisiae to a programmed cell death process in response to acetic acid is mediated through a ROS-dependent apoptotic pathway.","container-title":"Gene","DOI":"10.1016/j.gene.2005.03.030","ISSN":"0378-1119","journalAbbreviation":"Gene","language":"eng","note":"PMID: 15894436","page":"93-98","source":"PubMed","title":"Acid stress adaptation protects Saccharomyces cerevisiae from acetic acid-induced programmed cell death","volume":"354","author":[{"family":"Giannattasio","given":"Sergio"},{"family":"Guaragnella","given":"Nicoletta"},{"family":"Corte-Real","given":"Manuela"},{"family":"Passarella","given":"Salvatore"},{"family":"Marra","given":"Ersilia"}],"issued":{"date-parts":[["2005",7,18]]}}}],"schema":"https://github.com/citation-style-language/schema/raw/master/csl-citation.json"} </w:instrText>
      </w:r>
      <w:r w:rsidR="00460888">
        <w:rPr>
          <w:rFonts w:ascii="Times New Roman" w:eastAsia="Times New Roman" w:hAnsi="Times New Roman" w:cs="Times New Roman"/>
          <w:sz w:val="24"/>
          <w:szCs w:val="24"/>
        </w:rPr>
        <w:fldChar w:fldCharType="separate"/>
      </w:r>
      <w:r w:rsidR="00460888" w:rsidRPr="00460888">
        <w:rPr>
          <w:rFonts w:ascii="Times New Roman" w:hAnsi="Times New Roman" w:cs="Times New Roman"/>
          <w:sz w:val="24"/>
        </w:rPr>
        <w:t>[2]</w:t>
      </w:r>
      <w:r w:rsidR="0046088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Cell viability was determined by measuring colony forming units (</w:t>
      </w:r>
      <w:proofErr w:type="spellStart"/>
      <w:r>
        <w:rPr>
          <w:rFonts w:ascii="Times New Roman" w:eastAsia="Times New Roman" w:hAnsi="Times New Roman" w:cs="Times New Roman"/>
          <w:sz w:val="24"/>
          <w:szCs w:val="24"/>
        </w:rPr>
        <w:t>cfu</w:t>
      </w:r>
      <w:proofErr w:type="spellEnd"/>
      <w:r>
        <w:rPr>
          <w:rFonts w:ascii="Times New Roman" w:eastAsia="Times New Roman" w:hAnsi="Times New Roman" w:cs="Times New Roman"/>
          <w:sz w:val="24"/>
          <w:szCs w:val="24"/>
        </w:rPr>
        <w:t>) after two days of growth on YPD plate at 30 °C. In this experimental set-up yeast cells were grown in conditions different from those used in</w:t>
      </w:r>
      <w:r w:rsidR="00460888">
        <w:rPr>
          <w:rFonts w:ascii="Times New Roman" w:eastAsia="Times New Roman" w:hAnsi="Times New Roman" w:cs="Times New Roman"/>
          <w:sz w:val="24"/>
          <w:szCs w:val="24"/>
        </w:rPr>
        <w:t xml:space="preserve"> </w:t>
      </w:r>
      <w:r w:rsidR="00460888">
        <w:rPr>
          <w:rFonts w:ascii="Times New Roman" w:eastAsia="Times New Roman" w:hAnsi="Times New Roman" w:cs="Times New Roman"/>
          <w:sz w:val="24"/>
          <w:szCs w:val="24"/>
        </w:rPr>
        <w:fldChar w:fldCharType="begin"/>
      </w:r>
      <w:r w:rsidR="00460888">
        <w:rPr>
          <w:rFonts w:ascii="Times New Roman" w:eastAsia="Times New Roman" w:hAnsi="Times New Roman" w:cs="Times New Roman"/>
          <w:sz w:val="24"/>
          <w:szCs w:val="24"/>
        </w:rPr>
        <w:instrText xml:space="preserve"> ADDIN ZOTERO_ITEM CSL_CITATION {"citationID":"SBA4peJV","properties":{"formattedCitation":"[3]","plainCitation":"[3]","noteIndex":0},"citationItems":[{"id":104,"uris":["http://zotero.org/users/8035094/items/DYALKUPD"],"uri":["http://zotero.org/users/8035094/items/DYALKUPD"],"itemData":{"id":104,"type":"article-journal","abstract":"Adhesion of normal epithelial cells to the extracellular matrix (ECM) is essential for survival. Cell detachment from ECM induces a specific form of programmed cell death (PCD) termed anoikis. BRCA2, a tumor suppressor gene whose mutations confer predisposition to cancer, has been implicated in the regulation of DNA repair, transcription, cell proliferation, and apoptosis. However, the potential role of BRCA2 in the regulation of anoikis has not been investigated. Here, we found that suppression of BRCA2 expression by short hairpin RNA promoted resistance to anoikis in prostate, breast and thyroid normal epithelial cells, which was accompanied by reduced caspases 3/7 levels and activity. Using yeast as a model, we assessed that expression of human BRCA2 does not induce cell death by itself but it can promote acetic acid-induced PCD (AA-PCD). Induction of BRCA2 expression decreased cell survival and increased the number of cells positive to different apoptotic markers, including DNA fragmentation and phosphatidylserine externalization en route to AA-PCD. A higher increase in ROS levels occurred in the early phase of AA-PCD in BRCA2-expressing yeast cells compared with non-expressing cells. Accordingly, a delay in the initial burst of ROS levels was observed in BRCA2-knockdown anoikis-resistant human cells. Treatment with the antioxidants N-acetylcysteine or ascorbic acid reduced sensitivity to anoikis in human cells and inhibited AA-PCD in yeast cells expressing BRCA2. Taken together, these results show a new function of BRCA2 protein as modulator of anoikis sensitivity through an evolutionarily-conserved molecular mechanism involving regulation of ROS production and/or detoxification by BRCA2 during PCD processes.","container-title":"Apoptosis: An International Journal on Programmed Cell Death","DOI":"10.1007/s10495-014-1006-z","ISSN":"1573-675X","issue":"9","journalAbbreviation":"Apoptosis","language":"eng","note":"PMID: 24902638","page":"1330-1341","source":"PubMed","title":"Silencing of BRCA2 decreases anoikis and its heterologous expression sensitizes yeast cells to acetic acid-induced programmed cell death","volume":"19","author":[{"family":"Guaragnella","given":"Nicoletta"},{"family":"Marra","given":"Ersilia"},{"family":"Galli","given":"Alvaro"},{"family":"Moro","given":"Loredana"},{"family":"Giannattasio","given":"Sergio"}],"issued":{"date-parts":[["2014",9]]}}}],"schema":"https://github.com/citation-style-language/schema/raw/master/csl-citation.json"} </w:instrText>
      </w:r>
      <w:r w:rsidR="00460888">
        <w:rPr>
          <w:rFonts w:ascii="Times New Roman" w:eastAsia="Times New Roman" w:hAnsi="Times New Roman" w:cs="Times New Roman"/>
          <w:sz w:val="24"/>
          <w:szCs w:val="24"/>
        </w:rPr>
        <w:fldChar w:fldCharType="separate"/>
      </w:r>
      <w:r w:rsidR="00460888" w:rsidRPr="00460888">
        <w:rPr>
          <w:rFonts w:ascii="Times New Roman" w:hAnsi="Times New Roman" w:cs="Times New Roman"/>
          <w:sz w:val="24"/>
        </w:rPr>
        <w:t>[3]</w:t>
      </w:r>
      <w:r w:rsidR="0046088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Thus, we tested different concentrations of AA (150, 200, 300, 400 mM) to find the AA concentration at which the loss of viability of yeast cells expressing BRCA2 was significantly higher than that of cells without BRCA2. We chose 300 mM acetic acid to induce yeast cell death based on the cell viability data shown in figure S1 </w:t>
      </w:r>
      <w:r w:rsidR="00460888">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mirrors the results obtained in </w:t>
      </w:r>
      <w:r w:rsidR="00460888">
        <w:rPr>
          <w:rFonts w:ascii="Times New Roman" w:eastAsia="Times New Roman" w:hAnsi="Times New Roman" w:cs="Times New Roman"/>
          <w:sz w:val="24"/>
          <w:szCs w:val="24"/>
        </w:rPr>
        <w:fldChar w:fldCharType="begin"/>
      </w:r>
      <w:r w:rsidR="00460888">
        <w:rPr>
          <w:rFonts w:ascii="Times New Roman" w:eastAsia="Times New Roman" w:hAnsi="Times New Roman" w:cs="Times New Roman"/>
          <w:sz w:val="24"/>
          <w:szCs w:val="24"/>
        </w:rPr>
        <w:instrText xml:space="preserve"> ADDIN ZOTERO_ITEM CSL_CITATION {"citationID":"Occ0acUw","properties":{"formattedCitation":"[3]","plainCitation":"[3]","noteIndex":0},"citationItems":[{"id":104,"uris":["http://zotero.org/users/8035094/items/DYALKUPD"],"uri":["http://zotero.org/users/8035094/items/DYALKUPD"],"itemData":{"id":104,"type":"article-journal","abstract":"Adhesion of normal epithelial cells to the extracellular matrix (ECM) is essential for survival. Cell detachment from ECM induces a specific form of programmed cell death (PCD) termed anoikis. BRCA2, a tumor suppressor gene whose mutations confer predisposition to cancer, has been implicated in the regulation of DNA repair, transcription, cell proliferation, and apoptosis. However, the potential role of BRCA2 in the regulation of anoikis has not been investigated. Here, we found that suppression of BRCA2 expression by short hairpin RNA promoted resistance to anoikis in prostate, breast and thyroid normal epithelial cells, which was accompanied by reduced caspases 3/7 levels and activity. Using yeast as a model, we assessed that expression of human BRCA2 does not induce cell death by itself but it can promote acetic acid-induced PCD (AA-PCD). Induction of BRCA2 expression decreased cell survival and increased the number of cells positive to different apoptotic markers, including DNA fragmentation and phosphatidylserine externalization en route to AA-PCD. A higher increase in ROS levels occurred in the early phase of AA-PCD in BRCA2-expressing yeast cells compared with non-expressing cells. Accordingly, a delay in the initial burst of ROS levels was observed in BRCA2-knockdown anoikis-resistant human cells. Treatment with the antioxidants N-acetylcysteine or ascorbic acid reduced sensitivity to anoikis in human cells and inhibited AA-PCD in yeast cells expressing BRCA2. Taken together, these results show a new function of BRCA2 protein as modulator of anoikis sensitivity through an evolutionarily-conserved molecular mechanism involving regulation of ROS production and/or detoxification by BRCA2 during PCD processes.","container-title":"Apoptosis: An International Journal on Programmed Cell Death","DOI":"10.1007/s10495-014-1006-z","ISSN":"1573-675X","issue":"9","journalAbbreviation":"Apoptosis","language":"eng","note":"PMID: 24902638","page":"1330-1341","source":"PubMed","title":"Silencing of BRCA2 decreases anoikis and its heterologous expression sensitizes yeast cells to acetic acid-induced programmed cell death","volume":"19","author":[{"family":"Guaragnella","given":"Nicoletta"},{"family":"Marra","given":"Ersilia"},{"family":"Galli","given":"Alvaro"},{"family":"Moro","given":"Loredana"},{"family":"Giannattasio","given":"Sergio"}],"issued":{"date-parts":[["2014",9]]}}}],"schema":"https://github.com/citation-style-language/schema/raw/master/csl-citation.json"} </w:instrText>
      </w:r>
      <w:r w:rsidR="00460888">
        <w:rPr>
          <w:rFonts w:ascii="Times New Roman" w:eastAsia="Times New Roman" w:hAnsi="Times New Roman" w:cs="Times New Roman"/>
          <w:sz w:val="24"/>
          <w:szCs w:val="24"/>
        </w:rPr>
        <w:fldChar w:fldCharType="separate"/>
      </w:r>
      <w:r w:rsidR="00460888" w:rsidRPr="00460888">
        <w:rPr>
          <w:rFonts w:ascii="Times New Roman" w:hAnsi="Times New Roman" w:cs="Times New Roman"/>
          <w:sz w:val="24"/>
        </w:rPr>
        <w:t>[3]</w:t>
      </w:r>
      <w:r w:rsidR="0046088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5350F074" w14:textId="77777777" w:rsidR="00796CD8" w:rsidRDefault="00365129">
      <w:pPr>
        <w:jc w:val="both"/>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 xml:space="preserve">RNA extraction </w:t>
      </w:r>
    </w:p>
    <w:p w14:paraId="632582C2" w14:textId="77777777" w:rsidR="00796CD8" w:rsidRDefault="00365129">
      <w:pPr>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Total RNA was extracted from 1x10</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 yeast cells treated for 1 hours at 30° with 200U of </w:t>
      </w:r>
      <w:proofErr w:type="spellStart"/>
      <w:r>
        <w:rPr>
          <w:rFonts w:ascii="Times New Roman" w:eastAsia="Times New Roman" w:hAnsi="Times New Roman" w:cs="Times New Roman"/>
          <w:sz w:val="24"/>
          <w:szCs w:val="24"/>
        </w:rPr>
        <w:t>zymolyase</w:t>
      </w:r>
      <w:proofErr w:type="spellEnd"/>
      <w:r>
        <w:rPr>
          <w:rFonts w:ascii="Times New Roman" w:eastAsia="Times New Roman" w:hAnsi="Times New Roman" w:cs="Times New Roman"/>
          <w:sz w:val="24"/>
          <w:szCs w:val="24"/>
        </w:rPr>
        <w:t xml:space="preserve"> in Sorbitol Buffer using the </w:t>
      </w:r>
      <w:proofErr w:type="spellStart"/>
      <w:r>
        <w:rPr>
          <w:rFonts w:ascii="Times New Roman" w:eastAsia="Times New Roman" w:hAnsi="Times New Roman" w:cs="Times New Roman"/>
          <w:sz w:val="24"/>
          <w:szCs w:val="24"/>
        </w:rPr>
        <w:t>Rneasy</w:t>
      </w:r>
      <w:proofErr w:type="spellEnd"/>
      <w:r>
        <w:rPr>
          <w:rFonts w:ascii="Times New Roman" w:eastAsia="Times New Roman" w:hAnsi="Times New Roman" w:cs="Times New Roman"/>
          <w:sz w:val="24"/>
          <w:szCs w:val="24"/>
        </w:rPr>
        <w:t xml:space="preserve"> Mini/Plus extraction kit (Qiagen), according to the manufacturer’s instructions. RNA was quantitatively and qualitatively evaluated using </w:t>
      </w:r>
      <w:proofErr w:type="spellStart"/>
      <w:r>
        <w:rPr>
          <w:rFonts w:ascii="Times New Roman" w:eastAsia="Times New Roman" w:hAnsi="Times New Roman" w:cs="Times New Roman"/>
          <w:sz w:val="24"/>
          <w:szCs w:val="24"/>
        </w:rPr>
        <w:t>NanoDrop</w:t>
      </w:r>
      <w:proofErr w:type="spellEnd"/>
      <w:r>
        <w:rPr>
          <w:rFonts w:ascii="Times New Roman" w:eastAsia="Times New Roman" w:hAnsi="Times New Roman" w:cs="Times New Roman"/>
          <w:sz w:val="24"/>
          <w:szCs w:val="24"/>
        </w:rPr>
        <w:t xml:space="preserve"> 2000c (</w:t>
      </w:r>
      <w:proofErr w:type="spellStart"/>
      <w:r>
        <w:rPr>
          <w:rFonts w:ascii="Times New Roman" w:eastAsia="Times New Roman" w:hAnsi="Times New Roman" w:cs="Times New Roman"/>
          <w:sz w:val="24"/>
          <w:szCs w:val="24"/>
        </w:rPr>
        <w:t>Thermo</w:t>
      </w:r>
      <w:proofErr w:type="spellEnd"/>
      <w:r>
        <w:rPr>
          <w:rFonts w:ascii="Times New Roman" w:eastAsia="Times New Roman" w:hAnsi="Times New Roman" w:cs="Times New Roman"/>
          <w:sz w:val="24"/>
          <w:szCs w:val="24"/>
        </w:rPr>
        <w:t xml:space="preserve"> Fisher Scientific) and Agilent Bioanalyzer 2100 (Agilent </w:t>
      </w:r>
      <w:proofErr w:type="spellStart"/>
      <w:r>
        <w:rPr>
          <w:rFonts w:ascii="Times New Roman" w:eastAsia="Times New Roman" w:hAnsi="Times New Roman" w:cs="Times New Roman"/>
          <w:sz w:val="24"/>
          <w:szCs w:val="24"/>
        </w:rPr>
        <w:t>Tecnologies</w:t>
      </w:r>
      <w:proofErr w:type="spellEnd"/>
      <w:r>
        <w:rPr>
          <w:rFonts w:ascii="Times New Roman" w:eastAsia="Times New Roman" w:hAnsi="Times New Roman" w:cs="Times New Roman"/>
          <w:sz w:val="24"/>
          <w:szCs w:val="24"/>
        </w:rPr>
        <w:t xml:space="preserve">), respectively. </w:t>
      </w:r>
    </w:p>
    <w:p w14:paraId="3116268B" w14:textId="77777777" w:rsidR="00796CD8" w:rsidRDefault="0036512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RNA sequencing </w:t>
      </w:r>
    </w:p>
    <w:p w14:paraId="39D162B6" w14:textId="5F35C874" w:rsidR="00796CD8" w:rsidRDefault="003651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Directional </w:t>
      </w:r>
      <w:proofErr w:type="spellStart"/>
      <w:r>
        <w:rPr>
          <w:rFonts w:ascii="Times New Roman" w:eastAsia="Times New Roman" w:hAnsi="Times New Roman" w:cs="Times New Roman"/>
          <w:sz w:val="24"/>
          <w:szCs w:val="24"/>
        </w:rPr>
        <w:t>pol</w:t>
      </w:r>
      <w:r w:rsidR="00286172">
        <w:rPr>
          <w:rFonts w:ascii="Times New Roman" w:eastAsia="Times New Roman" w:hAnsi="Times New Roman" w:cs="Times New Roman"/>
          <w:sz w:val="24"/>
          <w:szCs w:val="24"/>
        </w:rPr>
        <w:t>y</w:t>
      </w:r>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RNA libraries were prepared from 1 µg of total RNA using the </w:t>
      </w:r>
      <w:proofErr w:type="spellStart"/>
      <w:r>
        <w:rPr>
          <w:rFonts w:ascii="Times New Roman" w:eastAsia="Times New Roman" w:hAnsi="Times New Roman" w:cs="Times New Roman"/>
          <w:sz w:val="24"/>
          <w:szCs w:val="24"/>
        </w:rPr>
        <w:t>SureSelect</w:t>
      </w:r>
      <w:proofErr w:type="spellEnd"/>
      <w:r>
        <w:rPr>
          <w:rFonts w:ascii="Times New Roman" w:eastAsia="Times New Roman" w:hAnsi="Times New Roman" w:cs="Times New Roman"/>
          <w:sz w:val="24"/>
          <w:szCs w:val="24"/>
        </w:rPr>
        <w:t xml:space="preserve"> Strand-Specific RNA Library Prep for Illumina Multiplexed Sequencing (Agilent Technologies) according to the manufacturer’s protocol. Libraries were qualitatively checked on the Agilent 2100 platform and quantified on the Nano-Drop 3300 </w:t>
      </w:r>
      <w:proofErr w:type="spellStart"/>
      <w:r>
        <w:rPr>
          <w:rFonts w:ascii="Times New Roman" w:eastAsia="Times New Roman" w:hAnsi="Times New Roman" w:cs="Times New Roman"/>
          <w:sz w:val="24"/>
          <w:szCs w:val="24"/>
        </w:rPr>
        <w:t>Fluorospectrometer</w:t>
      </w:r>
      <w:proofErr w:type="spellEnd"/>
      <w:r>
        <w:rPr>
          <w:rFonts w:ascii="Times New Roman" w:eastAsia="Times New Roman" w:hAnsi="Times New Roman" w:cs="Times New Roman"/>
          <w:sz w:val="24"/>
          <w:szCs w:val="24"/>
        </w:rPr>
        <w:t xml:space="preserve"> (Thermo-Scientific) using the Quant-IT </w:t>
      </w:r>
      <w:proofErr w:type="spellStart"/>
      <w:r>
        <w:rPr>
          <w:rFonts w:ascii="Times New Roman" w:eastAsia="Times New Roman" w:hAnsi="Times New Roman" w:cs="Times New Roman"/>
          <w:sz w:val="24"/>
          <w:szCs w:val="24"/>
        </w:rPr>
        <w:t>PicoGreen</w:t>
      </w:r>
      <w:proofErr w:type="spellEnd"/>
      <w:r>
        <w:rPr>
          <w:rFonts w:ascii="Times New Roman" w:eastAsia="Times New Roman" w:hAnsi="Times New Roman" w:cs="Times New Roman"/>
          <w:sz w:val="24"/>
          <w:szCs w:val="24"/>
        </w:rPr>
        <w:t xml:space="preserve"> assay kit (Life-Technologies). Equimolar quantities of cDNA libraries were pooled and subjected to 2 × 120 bp paired-end sequencing on the </w:t>
      </w:r>
      <w:proofErr w:type="spellStart"/>
      <w:r>
        <w:rPr>
          <w:rFonts w:ascii="Times New Roman" w:eastAsia="Times New Roman" w:hAnsi="Times New Roman" w:cs="Times New Roman"/>
          <w:sz w:val="24"/>
          <w:szCs w:val="24"/>
        </w:rPr>
        <w:t>NextSeq</w:t>
      </w:r>
      <w:proofErr w:type="spellEnd"/>
      <w:r>
        <w:rPr>
          <w:rFonts w:ascii="Times New Roman" w:eastAsia="Times New Roman" w:hAnsi="Times New Roman" w:cs="Times New Roman"/>
          <w:sz w:val="24"/>
          <w:szCs w:val="24"/>
        </w:rPr>
        <w:t xml:space="preserve"> 500 platform (Illumina), generating on average 18 </w:t>
      </w:r>
      <w:r w:rsidR="00286172">
        <w:rPr>
          <w:rFonts w:ascii="Times New Roman" w:eastAsia="Times New Roman" w:hAnsi="Times New Roman" w:cs="Times New Roman"/>
          <w:sz w:val="24"/>
          <w:szCs w:val="24"/>
        </w:rPr>
        <w:t>million</w:t>
      </w:r>
      <w:r>
        <w:rPr>
          <w:rFonts w:ascii="Times New Roman" w:eastAsia="Times New Roman" w:hAnsi="Times New Roman" w:cs="Times New Roman"/>
          <w:sz w:val="24"/>
          <w:szCs w:val="24"/>
        </w:rPr>
        <w:t xml:space="preserve"> of reads per sample.</w:t>
      </w:r>
    </w:p>
    <w:p w14:paraId="30C4AD25" w14:textId="77777777" w:rsidR="00796CD8" w:rsidRDefault="00365129">
      <w:pPr>
        <w:pStyle w:val="Titolo3"/>
        <w:keepNext w:val="0"/>
        <w:keepLines w:val="0"/>
        <w:spacing w:line="233" w:lineRule="auto"/>
        <w:jc w:val="both"/>
        <w:rPr>
          <w:rFonts w:ascii="Times New Roman" w:eastAsia="Times New Roman" w:hAnsi="Times New Roman" w:cs="Times New Roman"/>
          <w:sz w:val="24"/>
          <w:szCs w:val="24"/>
        </w:rPr>
      </w:pPr>
      <w:bookmarkStart w:id="1" w:name="_heading=h.gobv79d0desb" w:colFirst="0" w:colLast="0"/>
      <w:bookmarkEnd w:id="1"/>
      <w:r>
        <w:rPr>
          <w:rFonts w:ascii="Times New Roman" w:eastAsia="Times New Roman" w:hAnsi="Times New Roman" w:cs="Times New Roman"/>
          <w:sz w:val="24"/>
          <w:szCs w:val="24"/>
        </w:rPr>
        <w:t>Preprocessing and analysis of RNA-seq data</w:t>
      </w:r>
    </w:p>
    <w:p w14:paraId="043333CB" w14:textId="0F04BF7E" w:rsidR="00796CD8" w:rsidRDefault="00365129">
      <w:pPr>
        <w:jc w:val="both"/>
        <w:rPr>
          <w:rFonts w:ascii="Times New Roman" w:eastAsia="Times New Roman" w:hAnsi="Times New Roman" w:cs="Times New Roman"/>
          <w:sz w:val="24"/>
          <w:szCs w:val="24"/>
        </w:rPr>
      </w:pPr>
      <w:r w:rsidRPr="00460888">
        <w:rPr>
          <w:rFonts w:ascii="Times New Roman" w:eastAsia="Times New Roman" w:hAnsi="Times New Roman" w:cs="Times New Roman"/>
          <w:sz w:val="24"/>
          <w:szCs w:val="24"/>
        </w:rPr>
        <w:lastRenderedPageBreak/>
        <w:t xml:space="preserve">At least 4 replicates for each experimental condition were analyzed. Raw data were initially </w:t>
      </w:r>
      <w:proofErr w:type="gramStart"/>
      <w:r w:rsidRPr="00460888">
        <w:rPr>
          <w:rFonts w:ascii="Times New Roman" w:eastAsia="Times New Roman" w:hAnsi="Times New Roman" w:cs="Times New Roman"/>
          <w:sz w:val="24"/>
          <w:szCs w:val="24"/>
        </w:rPr>
        <w:t>quality-checked</w:t>
      </w:r>
      <w:proofErr w:type="gramEnd"/>
      <w:r w:rsidRPr="00460888">
        <w:rPr>
          <w:rFonts w:ascii="Times New Roman" w:eastAsia="Times New Roman" w:hAnsi="Times New Roman" w:cs="Times New Roman"/>
          <w:sz w:val="24"/>
          <w:szCs w:val="24"/>
        </w:rPr>
        <w:t xml:space="preserve"> using </w:t>
      </w:r>
      <w:proofErr w:type="spellStart"/>
      <w:r w:rsidRPr="00460888">
        <w:rPr>
          <w:rFonts w:ascii="Times New Roman" w:eastAsia="Times New Roman" w:hAnsi="Times New Roman" w:cs="Times New Roman"/>
          <w:sz w:val="24"/>
          <w:szCs w:val="24"/>
        </w:rPr>
        <w:t>FastQC</w:t>
      </w:r>
      <w:proofErr w:type="spellEnd"/>
      <w:r w:rsidRPr="00460888">
        <w:rPr>
          <w:rFonts w:ascii="Times New Roman" w:eastAsia="Times New Roman" w:hAnsi="Times New Roman" w:cs="Times New Roman"/>
          <w:sz w:val="24"/>
          <w:szCs w:val="24"/>
        </w:rPr>
        <w:t xml:space="preserve"> and trimmed by </w:t>
      </w:r>
      <w:proofErr w:type="spellStart"/>
      <w:r w:rsidRPr="00460888">
        <w:rPr>
          <w:rFonts w:ascii="Times New Roman" w:eastAsia="Times New Roman" w:hAnsi="Times New Roman" w:cs="Times New Roman"/>
          <w:sz w:val="24"/>
          <w:szCs w:val="24"/>
        </w:rPr>
        <w:t>cutadapt</w:t>
      </w:r>
      <w:proofErr w:type="spellEnd"/>
      <w:r w:rsidRPr="00460888">
        <w:rPr>
          <w:rFonts w:ascii="Times New Roman" w:eastAsia="Times New Roman" w:hAnsi="Times New Roman" w:cs="Times New Roman"/>
          <w:sz w:val="24"/>
          <w:szCs w:val="24"/>
        </w:rPr>
        <w:t xml:space="preserve"> in order to remove low quality bases and adapters. High quality reads were aligned onto the yeast genome (assembly R64 from strain S288C) using the ultrafast STAR program. Raw counts for known genes were performed by </w:t>
      </w:r>
      <w:proofErr w:type="spellStart"/>
      <w:r w:rsidRPr="00460888">
        <w:rPr>
          <w:rFonts w:ascii="Times New Roman" w:eastAsia="Times New Roman" w:hAnsi="Times New Roman" w:cs="Times New Roman"/>
          <w:sz w:val="24"/>
          <w:szCs w:val="24"/>
        </w:rPr>
        <w:t>FeatureCounts</w:t>
      </w:r>
      <w:proofErr w:type="spellEnd"/>
      <w:r w:rsidRPr="00460888">
        <w:rPr>
          <w:rFonts w:ascii="Times New Roman" w:eastAsia="Times New Roman" w:hAnsi="Times New Roman" w:cs="Times New Roman"/>
          <w:sz w:val="24"/>
          <w:szCs w:val="24"/>
        </w:rPr>
        <w:t xml:space="preserve"> while differential expression analysis was carried out using DESeq2. Differentially expressed genes we</w:t>
      </w:r>
      <w:r w:rsidR="00460888">
        <w:rPr>
          <w:rFonts w:ascii="Times New Roman" w:eastAsia="Times New Roman" w:hAnsi="Times New Roman" w:cs="Times New Roman"/>
          <w:sz w:val="24"/>
          <w:szCs w:val="24"/>
        </w:rPr>
        <w:t xml:space="preserve">re selected if log2-fold change | </w:t>
      </w:r>
      <w:r w:rsidRPr="00460888">
        <w:rPr>
          <w:rFonts w:ascii="Times New Roman" w:eastAsia="Times New Roman" w:hAnsi="Times New Roman" w:cs="Times New Roman"/>
          <w:sz w:val="24"/>
          <w:szCs w:val="24"/>
        </w:rPr>
        <w:t>≥ 1.5 and p</w:t>
      </w:r>
      <w:r>
        <w:rPr>
          <w:rFonts w:ascii="Times New Roman" w:eastAsia="Times New Roman" w:hAnsi="Times New Roman" w:cs="Times New Roman"/>
          <w:sz w:val="24"/>
          <w:szCs w:val="24"/>
        </w:rPr>
        <w:t>-value&lt;</w:t>
      </w:r>
      <w:proofErr w:type="gramStart"/>
      <w:r>
        <w:rPr>
          <w:rFonts w:ascii="Times New Roman" w:eastAsia="Times New Roman" w:hAnsi="Times New Roman" w:cs="Times New Roman"/>
          <w:sz w:val="24"/>
          <w:szCs w:val="24"/>
        </w:rPr>
        <w:t>0.05)|</w:t>
      </w:r>
      <w:proofErr w:type="gramEnd"/>
      <w:r>
        <w:rPr>
          <w:rFonts w:ascii="Times New Roman" w:eastAsia="Times New Roman" w:hAnsi="Times New Roman" w:cs="Times New Roman"/>
          <w:sz w:val="24"/>
          <w:szCs w:val="24"/>
        </w:rPr>
        <w:t xml:space="preserve">. Yeast gene annotation was performed by means of the blast2go module embedded with </w:t>
      </w:r>
      <w:proofErr w:type="spellStart"/>
      <w:r>
        <w:rPr>
          <w:rFonts w:ascii="Times New Roman" w:eastAsia="Times New Roman" w:hAnsi="Times New Roman" w:cs="Times New Roman"/>
          <w:sz w:val="24"/>
          <w:szCs w:val="24"/>
        </w:rPr>
        <w:t>OmicsBox</w:t>
      </w:r>
      <w:proofErr w:type="spellEnd"/>
      <w:r>
        <w:rPr>
          <w:rFonts w:ascii="Times New Roman" w:eastAsia="Times New Roman" w:hAnsi="Times New Roman" w:cs="Times New Roman"/>
          <w:sz w:val="24"/>
          <w:szCs w:val="24"/>
        </w:rPr>
        <w:t xml:space="preserve"> and according to the following steps: </w:t>
      </w:r>
      <w:proofErr w:type="spellStart"/>
      <w:r>
        <w:rPr>
          <w:rFonts w:ascii="Times New Roman" w:eastAsia="Times New Roman" w:hAnsi="Times New Roman" w:cs="Times New Roman"/>
          <w:sz w:val="24"/>
          <w:szCs w:val="24"/>
        </w:rPr>
        <w:t>tBLASTx</w:t>
      </w:r>
      <w:proofErr w:type="spellEnd"/>
      <w:r>
        <w:rPr>
          <w:rFonts w:ascii="Times New Roman" w:eastAsia="Times New Roman" w:hAnsi="Times New Roman" w:cs="Times New Roman"/>
          <w:sz w:val="24"/>
          <w:szCs w:val="24"/>
        </w:rPr>
        <w:t xml:space="preserve"> to find homologous sequences; Gene Ontology mapping to retrieve GO terms; Annotation Prediction to select reliable </w:t>
      </w:r>
      <w:r w:rsidR="001B5EB6">
        <w:rPr>
          <w:rFonts w:ascii="Times New Roman" w:eastAsia="Times New Roman" w:hAnsi="Times New Roman" w:cs="Times New Roman"/>
          <w:sz w:val="24"/>
          <w:szCs w:val="24"/>
        </w:rPr>
        <w:t>functions.</w:t>
      </w:r>
      <w:r>
        <w:rPr>
          <w:rFonts w:ascii="Times New Roman" w:eastAsia="Times New Roman" w:hAnsi="Times New Roman" w:cs="Times New Roman"/>
          <w:sz w:val="24"/>
          <w:szCs w:val="24"/>
        </w:rPr>
        <w:t xml:space="preserve"> Gene Ontology (GO) enrichment was carried out by means of the PANTHER Classification System (www.pantherdb.org). Biological pathway analysis was performed using the Kyoto Encyclopedia of Genes and Genomes (KEGG, http:// www.kegg.jp/) database. </w:t>
      </w:r>
    </w:p>
    <w:p w14:paraId="53E696E2" w14:textId="752521CB" w:rsidR="00E26983" w:rsidRPr="00E26983" w:rsidRDefault="00E26983" w:rsidP="00E26983">
      <w:pPr>
        <w:jc w:val="both"/>
        <w:rPr>
          <w:rFonts w:ascii="Times New Roman" w:eastAsia="Times New Roman" w:hAnsi="Times New Roman" w:cs="Times New Roman"/>
          <w:b/>
          <w:bCs/>
          <w:sz w:val="24"/>
          <w:szCs w:val="24"/>
        </w:rPr>
      </w:pPr>
      <w:r w:rsidRPr="00E26983">
        <w:rPr>
          <w:rFonts w:ascii="Times New Roman" w:eastAsia="Times New Roman" w:hAnsi="Times New Roman" w:cs="Times New Roman"/>
          <w:b/>
          <w:bCs/>
          <w:sz w:val="24"/>
          <w:szCs w:val="24"/>
        </w:rPr>
        <w:t>Data availability</w:t>
      </w:r>
    </w:p>
    <w:p w14:paraId="0841B2B7" w14:textId="2C8E52D9" w:rsidR="00796CD8" w:rsidRDefault="00E26983" w:rsidP="00E26983">
      <w:pPr>
        <w:jc w:val="both"/>
        <w:rPr>
          <w:rFonts w:ascii="Times New Roman" w:eastAsia="Times New Roman" w:hAnsi="Times New Roman" w:cs="Times New Roman"/>
          <w:sz w:val="24"/>
          <w:szCs w:val="24"/>
        </w:rPr>
      </w:pPr>
      <w:r w:rsidRPr="00E26983">
        <w:rPr>
          <w:rFonts w:ascii="Times New Roman" w:eastAsia="Times New Roman" w:hAnsi="Times New Roman" w:cs="Times New Roman"/>
          <w:sz w:val="24"/>
          <w:szCs w:val="24"/>
        </w:rPr>
        <w:t xml:space="preserve">Raw reads used in this study are publicly available through the SRA </w:t>
      </w:r>
      <w:proofErr w:type="spellStart"/>
      <w:r w:rsidRPr="00E26983">
        <w:rPr>
          <w:rFonts w:ascii="Times New Roman" w:eastAsia="Times New Roman" w:hAnsi="Times New Roman" w:cs="Times New Roman"/>
          <w:sz w:val="24"/>
          <w:szCs w:val="24"/>
        </w:rPr>
        <w:t>BioProject</w:t>
      </w:r>
      <w:proofErr w:type="spellEnd"/>
      <w:r w:rsidRPr="00E26983">
        <w:rPr>
          <w:rFonts w:ascii="Times New Roman" w:eastAsia="Times New Roman" w:hAnsi="Times New Roman" w:cs="Times New Roman"/>
          <w:sz w:val="24"/>
          <w:szCs w:val="24"/>
        </w:rPr>
        <w:t xml:space="preserve"> PRJNA818194.</w:t>
      </w:r>
    </w:p>
    <w:p w14:paraId="6B0D0A19" w14:textId="77777777" w:rsidR="00E26983" w:rsidRDefault="00E26983" w:rsidP="00E26983">
      <w:pPr>
        <w:jc w:val="both"/>
        <w:rPr>
          <w:rFonts w:ascii="Times New Roman" w:eastAsia="Times New Roman" w:hAnsi="Times New Roman" w:cs="Times New Roman"/>
          <w:sz w:val="24"/>
          <w:szCs w:val="24"/>
        </w:rPr>
      </w:pPr>
    </w:p>
    <w:p w14:paraId="5B71D69E" w14:textId="77777777" w:rsidR="00796CD8" w:rsidRDefault="0036512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394357D2" w14:textId="77777777" w:rsidR="00460888" w:rsidRPr="00460888" w:rsidRDefault="00460888" w:rsidP="00460888">
      <w:pPr>
        <w:pStyle w:val="Bibliografia"/>
        <w:rPr>
          <w:rFonts w:ascii="Times New Roman" w:hAnsi="Times New Roman" w:cs="Times New Roman"/>
          <w:sz w:val="24"/>
        </w:rPr>
      </w:pPr>
      <w:r>
        <w:rPr>
          <w:rFonts w:eastAsia="Times New Roman"/>
          <w:b/>
        </w:rPr>
        <w:fldChar w:fldCharType="begin"/>
      </w:r>
      <w:r>
        <w:rPr>
          <w:rFonts w:eastAsia="Times New Roman"/>
          <w:b/>
        </w:rPr>
        <w:instrText xml:space="preserve"> ADDIN ZOTERO_BIBL {"uncited":[],"omitted":[],"custom":[]} CSL_BIBLIOGRAPHY </w:instrText>
      </w:r>
      <w:r>
        <w:rPr>
          <w:rFonts w:eastAsia="Times New Roman"/>
          <w:b/>
        </w:rPr>
        <w:fldChar w:fldCharType="separate"/>
      </w:r>
      <w:r w:rsidRPr="00460888">
        <w:rPr>
          <w:rFonts w:ascii="Times New Roman" w:hAnsi="Times New Roman" w:cs="Times New Roman"/>
          <w:sz w:val="24"/>
        </w:rPr>
        <w:t xml:space="preserve">1. </w:t>
      </w:r>
      <w:r w:rsidRPr="00460888">
        <w:rPr>
          <w:rFonts w:ascii="Times New Roman" w:hAnsi="Times New Roman" w:cs="Times New Roman"/>
          <w:sz w:val="24"/>
        </w:rPr>
        <w:tab/>
        <w:t xml:space="preserve">Liu, J.; Doty, T.; Gibson, B.; Heyer, W.-D. Human BRCA2 Protein Promotes RAD51 Filament Formation on RPA-Covered Single-Stranded DNA. </w:t>
      </w:r>
      <w:r w:rsidRPr="00460888">
        <w:rPr>
          <w:rFonts w:ascii="Times New Roman" w:hAnsi="Times New Roman" w:cs="Times New Roman"/>
          <w:i/>
          <w:iCs/>
          <w:sz w:val="24"/>
        </w:rPr>
        <w:t>Nat Struct Mol Biol</w:t>
      </w:r>
      <w:r w:rsidRPr="00460888">
        <w:rPr>
          <w:rFonts w:ascii="Times New Roman" w:hAnsi="Times New Roman" w:cs="Times New Roman"/>
          <w:sz w:val="24"/>
        </w:rPr>
        <w:t xml:space="preserve"> </w:t>
      </w:r>
      <w:r w:rsidRPr="00460888">
        <w:rPr>
          <w:rFonts w:ascii="Times New Roman" w:hAnsi="Times New Roman" w:cs="Times New Roman"/>
          <w:b/>
          <w:bCs/>
          <w:sz w:val="24"/>
        </w:rPr>
        <w:t>2010</w:t>
      </w:r>
      <w:r w:rsidRPr="00460888">
        <w:rPr>
          <w:rFonts w:ascii="Times New Roman" w:hAnsi="Times New Roman" w:cs="Times New Roman"/>
          <w:sz w:val="24"/>
        </w:rPr>
        <w:t xml:space="preserve">, </w:t>
      </w:r>
      <w:r w:rsidRPr="00460888">
        <w:rPr>
          <w:rFonts w:ascii="Times New Roman" w:hAnsi="Times New Roman" w:cs="Times New Roman"/>
          <w:i/>
          <w:iCs/>
          <w:sz w:val="24"/>
        </w:rPr>
        <w:t>17</w:t>
      </w:r>
      <w:r w:rsidRPr="00460888">
        <w:rPr>
          <w:rFonts w:ascii="Times New Roman" w:hAnsi="Times New Roman" w:cs="Times New Roman"/>
          <w:sz w:val="24"/>
        </w:rPr>
        <w:t>, 1260–1262, doi:10.1038/nsmb.1904.</w:t>
      </w:r>
    </w:p>
    <w:p w14:paraId="678CE6C2" w14:textId="77777777" w:rsidR="00460888" w:rsidRPr="00460888" w:rsidRDefault="00460888" w:rsidP="00460888">
      <w:pPr>
        <w:pStyle w:val="Bibliografia"/>
        <w:rPr>
          <w:rFonts w:ascii="Times New Roman" w:hAnsi="Times New Roman" w:cs="Times New Roman"/>
          <w:sz w:val="24"/>
        </w:rPr>
      </w:pPr>
      <w:r w:rsidRPr="00460888">
        <w:rPr>
          <w:rFonts w:ascii="Times New Roman" w:hAnsi="Times New Roman" w:cs="Times New Roman"/>
          <w:sz w:val="24"/>
        </w:rPr>
        <w:t xml:space="preserve">2. </w:t>
      </w:r>
      <w:r w:rsidRPr="00460888">
        <w:rPr>
          <w:rFonts w:ascii="Times New Roman" w:hAnsi="Times New Roman" w:cs="Times New Roman"/>
          <w:sz w:val="24"/>
        </w:rPr>
        <w:tab/>
        <w:t xml:space="preserve">Giannattasio, S.; Guaragnella, N.; Corte-Real, M.; Passarella, S.; Marra, E. Acid Stress Adaptation Protects Saccharomyces Cerevisiae from Acetic Acid-Induced Programmed Cell Death. </w:t>
      </w:r>
      <w:r w:rsidRPr="00460888">
        <w:rPr>
          <w:rFonts w:ascii="Times New Roman" w:hAnsi="Times New Roman" w:cs="Times New Roman"/>
          <w:i/>
          <w:iCs/>
          <w:sz w:val="24"/>
        </w:rPr>
        <w:t>Gene</w:t>
      </w:r>
      <w:r w:rsidRPr="00460888">
        <w:rPr>
          <w:rFonts w:ascii="Times New Roman" w:hAnsi="Times New Roman" w:cs="Times New Roman"/>
          <w:sz w:val="24"/>
        </w:rPr>
        <w:t xml:space="preserve"> </w:t>
      </w:r>
      <w:r w:rsidRPr="00460888">
        <w:rPr>
          <w:rFonts w:ascii="Times New Roman" w:hAnsi="Times New Roman" w:cs="Times New Roman"/>
          <w:b/>
          <w:bCs/>
          <w:sz w:val="24"/>
        </w:rPr>
        <w:t>2005</w:t>
      </w:r>
      <w:r w:rsidRPr="00460888">
        <w:rPr>
          <w:rFonts w:ascii="Times New Roman" w:hAnsi="Times New Roman" w:cs="Times New Roman"/>
          <w:sz w:val="24"/>
        </w:rPr>
        <w:t xml:space="preserve">, </w:t>
      </w:r>
      <w:r w:rsidRPr="00460888">
        <w:rPr>
          <w:rFonts w:ascii="Times New Roman" w:hAnsi="Times New Roman" w:cs="Times New Roman"/>
          <w:i/>
          <w:iCs/>
          <w:sz w:val="24"/>
        </w:rPr>
        <w:t>354</w:t>
      </w:r>
      <w:r w:rsidRPr="00460888">
        <w:rPr>
          <w:rFonts w:ascii="Times New Roman" w:hAnsi="Times New Roman" w:cs="Times New Roman"/>
          <w:sz w:val="24"/>
        </w:rPr>
        <w:t>, 93–98, doi:10.1016/j.gene.2005.03.030.</w:t>
      </w:r>
    </w:p>
    <w:p w14:paraId="237D87A8" w14:textId="77777777" w:rsidR="00460888" w:rsidRPr="00460888" w:rsidRDefault="00460888" w:rsidP="00460888">
      <w:pPr>
        <w:pStyle w:val="Bibliografia"/>
        <w:rPr>
          <w:rFonts w:ascii="Times New Roman" w:hAnsi="Times New Roman" w:cs="Times New Roman"/>
          <w:sz w:val="24"/>
        </w:rPr>
      </w:pPr>
      <w:r w:rsidRPr="00460888">
        <w:rPr>
          <w:rFonts w:ascii="Times New Roman" w:hAnsi="Times New Roman" w:cs="Times New Roman"/>
          <w:sz w:val="24"/>
        </w:rPr>
        <w:t xml:space="preserve">3. </w:t>
      </w:r>
      <w:r w:rsidRPr="00460888">
        <w:rPr>
          <w:rFonts w:ascii="Times New Roman" w:hAnsi="Times New Roman" w:cs="Times New Roman"/>
          <w:sz w:val="24"/>
        </w:rPr>
        <w:tab/>
        <w:t xml:space="preserve">Guaragnella, N.; Marra, E.; Galli, A.; Moro, L.; Giannattasio, S. Silencing of BRCA2 Decreases Anoikis and Its Heterologous Expression Sensitizes Yeast Cells to Acetic Acid-Induced Programmed Cell Death. </w:t>
      </w:r>
      <w:r w:rsidRPr="00460888">
        <w:rPr>
          <w:rFonts w:ascii="Times New Roman" w:hAnsi="Times New Roman" w:cs="Times New Roman"/>
          <w:i/>
          <w:iCs/>
          <w:sz w:val="24"/>
        </w:rPr>
        <w:t>Apoptosis</w:t>
      </w:r>
      <w:r w:rsidRPr="00460888">
        <w:rPr>
          <w:rFonts w:ascii="Times New Roman" w:hAnsi="Times New Roman" w:cs="Times New Roman"/>
          <w:sz w:val="24"/>
        </w:rPr>
        <w:t xml:space="preserve"> </w:t>
      </w:r>
      <w:r w:rsidRPr="00460888">
        <w:rPr>
          <w:rFonts w:ascii="Times New Roman" w:hAnsi="Times New Roman" w:cs="Times New Roman"/>
          <w:b/>
          <w:bCs/>
          <w:sz w:val="24"/>
        </w:rPr>
        <w:t>2014</w:t>
      </w:r>
      <w:r w:rsidRPr="00460888">
        <w:rPr>
          <w:rFonts w:ascii="Times New Roman" w:hAnsi="Times New Roman" w:cs="Times New Roman"/>
          <w:sz w:val="24"/>
        </w:rPr>
        <w:t xml:space="preserve">, </w:t>
      </w:r>
      <w:r w:rsidRPr="00460888">
        <w:rPr>
          <w:rFonts w:ascii="Times New Roman" w:hAnsi="Times New Roman" w:cs="Times New Roman"/>
          <w:i/>
          <w:iCs/>
          <w:sz w:val="24"/>
        </w:rPr>
        <w:t>19</w:t>
      </w:r>
      <w:r w:rsidRPr="00460888">
        <w:rPr>
          <w:rFonts w:ascii="Times New Roman" w:hAnsi="Times New Roman" w:cs="Times New Roman"/>
          <w:sz w:val="24"/>
        </w:rPr>
        <w:t>, 1330–1341, doi:10.1007/s10495-014-1006-z.</w:t>
      </w:r>
    </w:p>
    <w:p w14:paraId="21C9F014" w14:textId="0B201706" w:rsidR="00796CD8" w:rsidRDefault="0046088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end"/>
      </w:r>
    </w:p>
    <w:p w14:paraId="1C5BC45A" w14:textId="39084861" w:rsidR="00C05C3C" w:rsidRDefault="008663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Supplementary figure captions.</w:t>
      </w:r>
    </w:p>
    <w:p w14:paraId="4E44BA95" w14:textId="77777777" w:rsidR="00866364" w:rsidRPr="00866364" w:rsidRDefault="00866364" w:rsidP="00866364">
      <w:pPr>
        <w:jc w:val="both"/>
        <w:rPr>
          <w:rFonts w:ascii="Times New Roman" w:eastAsia="Times New Roman" w:hAnsi="Times New Roman" w:cs="Times New Roman"/>
          <w:b/>
          <w:sz w:val="24"/>
          <w:szCs w:val="24"/>
        </w:rPr>
      </w:pPr>
      <w:r w:rsidRPr="00866364">
        <w:rPr>
          <w:rFonts w:ascii="Times New Roman" w:eastAsia="Times New Roman" w:hAnsi="Times New Roman" w:cs="Times New Roman"/>
          <w:b/>
          <w:sz w:val="24"/>
          <w:szCs w:val="24"/>
        </w:rPr>
        <w:t xml:space="preserve">Figure S1. </w:t>
      </w:r>
      <w:r w:rsidRPr="00866364">
        <w:rPr>
          <w:rFonts w:ascii="Times New Roman" w:eastAsia="Times New Roman" w:hAnsi="Times New Roman" w:cs="Times New Roman"/>
          <w:bCs/>
          <w:sz w:val="24"/>
          <w:szCs w:val="24"/>
        </w:rPr>
        <w:t>Cell viability of Y-</w:t>
      </w:r>
      <w:proofErr w:type="spellStart"/>
      <w:r w:rsidRPr="00866364">
        <w:rPr>
          <w:rFonts w:ascii="Times New Roman" w:eastAsia="Times New Roman" w:hAnsi="Times New Roman" w:cs="Times New Roman"/>
          <w:bCs/>
          <w:sz w:val="24"/>
          <w:szCs w:val="24"/>
        </w:rPr>
        <w:t>pYES</w:t>
      </w:r>
      <w:proofErr w:type="spellEnd"/>
      <w:r w:rsidRPr="00866364">
        <w:rPr>
          <w:rFonts w:ascii="Times New Roman" w:eastAsia="Times New Roman" w:hAnsi="Times New Roman" w:cs="Times New Roman"/>
          <w:bCs/>
          <w:sz w:val="24"/>
          <w:szCs w:val="24"/>
        </w:rPr>
        <w:t xml:space="preserve"> and Y-BRCA2 cells treated with 300 mM AA</w:t>
      </w:r>
      <w:r w:rsidRPr="00866364">
        <w:rPr>
          <w:rFonts w:ascii="Times New Roman" w:eastAsia="Times New Roman" w:hAnsi="Times New Roman" w:cs="Times New Roman"/>
          <w:b/>
          <w:sz w:val="24"/>
          <w:szCs w:val="24"/>
        </w:rPr>
        <w:t>.</w:t>
      </w:r>
    </w:p>
    <w:p w14:paraId="3DB6BB79" w14:textId="77777777" w:rsidR="00866364" w:rsidRPr="00866364" w:rsidRDefault="00866364" w:rsidP="00866364">
      <w:pPr>
        <w:jc w:val="both"/>
        <w:rPr>
          <w:rFonts w:ascii="Times New Roman" w:eastAsia="Times New Roman" w:hAnsi="Times New Roman" w:cs="Times New Roman"/>
          <w:bCs/>
          <w:sz w:val="24"/>
          <w:szCs w:val="24"/>
        </w:rPr>
      </w:pPr>
      <w:r w:rsidRPr="00866364">
        <w:rPr>
          <w:rFonts w:ascii="Times New Roman" w:eastAsia="Times New Roman" w:hAnsi="Times New Roman" w:cs="Times New Roman"/>
          <w:b/>
          <w:sz w:val="24"/>
          <w:szCs w:val="24"/>
        </w:rPr>
        <w:t xml:space="preserve">Figure S2. </w:t>
      </w:r>
      <w:r w:rsidRPr="00866364">
        <w:rPr>
          <w:rFonts w:ascii="Times New Roman" w:eastAsia="Times New Roman" w:hAnsi="Times New Roman" w:cs="Times New Roman"/>
          <w:bCs/>
          <w:sz w:val="24"/>
          <w:szCs w:val="24"/>
        </w:rPr>
        <w:t>Interaction network of up-regulated genes (score &gt; 0.7).</w:t>
      </w:r>
    </w:p>
    <w:p w14:paraId="0DCD7859" w14:textId="2642E687" w:rsidR="00866364" w:rsidRPr="00866364" w:rsidRDefault="00866364" w:rsidP="00866364">
      <w:pPr>
        <w:jc w:val="both"/>
        <w:rPr>
          <w:rFonts w:ascii="Times New Roman" w:eastAsia="Times New Roman" w:hAnsi="Times New Roman" w:cs="Times New Roman"/>
          <w:bCs/>
          <w:sz w:val="24"/>
          <w:szCs w:val="24"/>
        </w:rPr>
      </w:pPr>
      <w:r w:rsidRPr="00866364">
        <w:rPr>
          <w:rFonts w:ascii="Times New Roman" w:eastAsia="Times New Roman" w:hAnsi="Times New Roman" w:cs="Times New Roman"/>
          <w:b/>
          <w:sz w:val="24"/>
          <w:szCs w:val="24"/>
        </w:rPr>
        <w:t xml:space="preserve">Figure S3. </w:t>
      </w:r>
      <w:r w:rsidRPr="00866364">
        <w:rPr>
          <w:rFonts w:ascii="Times New Roman" w:eastAsia="Times New Roman" w:hAnsi="Times New Roman" w:cs="Times New Roman"/>
          <w:bCs/>
          <w:sz w:val="24"/>
          <w:szCs w:val="24"/>
        </w:rPr>
        <w:t>Interaction network of down-regulated genes (score &gt; 0.7).</w:t>
      </w:r>
    </w:p>
    <w:p w14:paraId="274503B4" w14:textId="1DABD028" w:rsidR="00C05C3C" w:rsidRDefault="00C05C3C">
      <w:pPr>
        <w:jc w:val="both"/>
        <w:rPr>
          <w:rFonts w:ascii="Times New Roman" w:eastAsia="Times New Roman" w:hAnsi="Times New Roman" w:cs="Times New Roman"/>
          <w:b/>
          <w:sz w:val="24"/>
          <w:szCs w:val="24"/>
        </w:rPr>
      </w:pPr>
    </w:p>
    <w:p w14:paraId="635D581C" w14:textId="0F0A1240" w:rsidR="00C05C3C" w:rsidRDefault="00C05C3C">
      <w:pPr>
        <w:jc w:val="both"/>
        <w:rPr>
          <w:rFonts w:ascii="Times New Roman" w:eastAsia="Times New Roman" w:hAnsi="Times New Roman" w:cs="Times New Roman"/>
          <w:b/>
          <w:sz w:val="24"/>
          <w:szCs w:val="24"/>
        </w:rPr>
      </w:pPr>
    </w:p>
    <w:p w14:paraId="736B8BB4" w14:textId="03EFB4EC" w:rsidR="00A627EE" w:rsidRDefault="00A627EE">
      <w:pPr>
        <w:rPr>
          <w:rFonts w:ascii="Times New Roman" w:eastAsia="Times New Roman" w:hAnsi="Times New Roman" w:cs="Times New Roman"/>
          <w:b/>
          <w:noProof/>
          <w:sz w:val="24"/>
          <w:szCs w:val="24"/>
        </w:rPr>
      </w:pPr>
    </w:p>
    <w:p w14:paraId="3FD65D92" w14:textId="77777777" w:rsidR="00635C78" w:rsidRDefault="00635C78">
      <w:pPr>
        <w:rPr>
          <w:rFonts w:ascii="Times New Roman" w:eastAsia="Times New Roman" w:hAnsi="Times New Roman" w:cs="Times New Roman"/>
          <w:b/>
          <w:noProof/>
          <w:sz w:val="24"/>
          <w:szCs w:val="24"/>
        </w:rPr>
      </w:pPr>
    </w:p>
    <w:p w14:paraId="00CE3DD7" w14:textId="7BDD49F7" w:rsidR="005A5087" w:rsidRPr="00FE2DB2" w:rsidRDefault="005A5087">
      <w:pPr>
        <w:rPr>
          <w:rFonts w:ascii="Times New Roman" w:eastAsia="Times New Roman" w:hAnsi="Times New Roman" w:cs="Times New Roman"/>
          <w:bCs/>
          <w:noProof/>
          <w:sz w:val="24"/>
          <w:szCs w:val="24"/>
        </w:rPr>
      </w:pPr>
      <w:r>
        <w:rPr>
          <w:rFonts w:ascii="Times New Roman" w:eastAsia="Times New Roman" w:hAnsi="Times New Roman" w:cs="Times New Roman"/>
          <w:b/>
          <w:noProof/>
          <w:sz w:val="24"/>
          <w:szCs w:val="24"/>
        </w:rPr>
        <w:t>Table S1. (Data sheet – Excel file)</w:t>
      </w:r>
      <w:r w:rsidR="00FE2DB2" w:rsidRPr="00FE2DB2">
        <w:t xml:space="preserve"> </w:t>
      </w:r>
      <w:r w:rsidR="00FE2DB2" w:rsidRPr="00FE2DB2">
        <w:rPr>
          <w:rFonts w:ascii="Times New Roman" w:eastAsia="Times New Roman" w:hAnsi="Times New Roman" w:cs="Times New Roman"/>
          <w:bCs/>
          <w:noProof/>
          <w:sz w:val="24"/>
          <w:szCs w:val="24"/>
        </w:rPr>
        <w:t>List of significant Gene Ontology terms deriving from the DEGs analysis.</w:t>
      </w:r>
    </w:p>
    <w:p w14:paraId="0D7E479B" w14:textId="408DCA81" w:rsidR="005A5087" w:rsidRDefault="005A5087">
      <w:pPr>
        <w:rPr>
          <w:rFonts w:ascii="Times New Roman" w:eastAsia="Times New Roman" w:hAnsi="Times New Roman" w:cs="Times New Roman"/>
          <w:b/>
          <w:noProof/>
          <w:sz w:val="24"/>
          <w:szCs w:val="24"/>
        </w:rPr>
      </w:pPr>
    </w:p>
    <w:bookmarkStart w:id="2" w:name="_MON_1708938634"/>
    <w:bookmarkEnd w:id="2"/>
    <w:p w14:paraId="1A9E831B" w14:textId="4ACF2427" w:rsidR="005A5087" w:rsidRDefault="007F604F">
      <w:pP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object w:dxaOrig="1536" w:dyaOrig="996" w14:anchorId="23F35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8pt;height:49.8pt" o:ole="">
            <v:imagedata r:id="rId5" o:title=""/>
          </v:shape>
          <o:OLEObject Type="Embed" ProgID="Excel.Sheet.12" ShapeID="_x0000_i1027" DrawAspect="Icon" ObjectID="_1709535430" r:id="rId6"/>
        </w:object>
      </w:r>
    </w:p>
    <w:p w14:paraId="3F3C114E" w14:textId="254917B8" w:rsidR="005A5087" w:rsidRDefault="00A627EE">
      <w:pP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br w:type="page"/>
      </w:r>
    </w:p>
    <w:p w14:paraId="190F4C6B" w14:textId="628BE468" w:rsidR="004F2224" w:rsidRPr="00FE2DB2" w:rsidRDefault="004F2224">
      <w:pPr>
        <w:rPr>
          <w:rFonts w:ascii="Times New Roman" w:eastAsia="Times New Roman" w:hAnsi="Times New Roman" w:cs="Times New Roman"/>
          <w:bCs/>
          <w:noProof/>
          <w:sz w:val="24"/>
          <w:szCs w:val="24"/>
        </w:rPr>
      </w:pPr>
      <w:r>
        <w:rPr>
          <w:rFonts w:ascii="Times New Roman" w:eastAsia="Times New Roman" w:hAnsi="Times New Roman" w:cs="Times New Roman"/>
          <w:b/>
          <w:noProof/>
          <w:sz w:val="24"/>
          <w:szCs w:val="24"/>
        </w:rPr>
        <w:t xml:space="preserve">Table S2. </w:t>
      </w:r>
      <w:r w:rsidR="00FE2DB2" w:rsidRPr="00FE2DB2">
        <w:rPr>
          <w:rFonts w:ascii="Times New Roman" w:eastAsia="Times New Roman" w:hAnsi="Times New Roman" w:cs="Times New Roman"/>
          <w:bCs/>
          <w:noProof/>
          <w:sz w:val="24"/>
          <w:szCs w:val="24"/>
        </w:rPr>
        <w:t>List of up- and down-regulated genes involved in the functional classification.</w:t>
      </w:r>
    </w:p>
    <w:tbl>
      <w:tblPr>
        <w:tblStyle w:val="Grigliatabella"/>
        <w:tblW w:w="0" w:type="auto"/>
        <w:tblLook w:val="04A0" w:firstRow="1" w:lastRow="0" w:firstColumn="1" w:lastColumn="0" w:noHBand="0" w:noVBand="1"/>
      </w:tblPr>
      <w:tblGrid>
        <w:gridCol w:w="2254"/>
        <w:gridCol w:w="860"/>
        <w:gridCol w:w="2977"/>
        <w:gridCol w:w="2925"/>
      </w:tblGrid>
      <w:tr w:rsidR="004F2224" w14:paraId="54586AE8" w14:textId="77777777" w:rsidTr="00B06138">
        <w:tc>
          <w:tcPr>
            <w:tcW w:w="2254" w:type="dxa"/>
          </w:tcPr>
          <w:p w14:paraId="6D19125B" w14:textId="77777777" w:rsidR="004F2224" w:rsidRPr="00170C45" w:rsidRDefault="004F2224">
            <w:pPr>
              <w:rPr>
                <w:b/>
                <w:bCs/>
                <w:lang w:val="en-US"/>
              </w:rPr>
            </w:pPr>
            <w:r w:rsidRPr="00170C45">
              <w:rPr>
                <w:b/>
                <w:bCs/>
                <w:lang w:val="en-US"/>
              </w:rPr>
              <w:t>PATHWAY</w:t>
            </w:r>
          </w:p>
        </w:tc>
        <w:tc>
          <w:tcPr>
            <w:tcW w:w="860" w:type="dxa"/>
          </w:tcPr>
          <w:p w14:paraId="75E22289" w14:textId="77777777" w:rsidR="004F2224" w:rsidRPr="00170C45" w:rsidRDefault="004F2224">
            <w:pPr>
              <w:rPr>
                <w:b/>
                <w:bCs/>
                <w:lang w:val="en-US"/>
              </w:rPr>
            </w:pPr>
            <w:r w:rsidRPr="00170C45">
              <w:rPr>
                <w:b/>
                <w:bCs/>
                <w:lang w:val="en-US"/>
              </w:rPr>
              <w:t>No. of DEGs</w:t>
            </w:r>
          </w:p>
        </w:tc>
        <w:tc>
          <w:tcPr>
            <w:tcW w:w="2977" w:type="dxa"/>
          </w:tcPr>
          <w:p w14:paraId="7F53CBA4" w14:textId="77777777" w:rsidR="004F2224" w:rsidRPr="00170C45" w:rsidRDefault="004F2224">
            <w:pPr>
              <w:rPr>
                <w:b/>
                <w:bCs/>
                <w:lang w:val="en-US"/>
              </w:rPr>
            </w:pPr>
            <w:r w:rsidRPr="00170C45">
              <w:rPr>
                <w:b/>
                <w:bCs/>
                <w:lang w:val="en-US"/>
              </w:rPr>
              <w:t>Up-regulated genes</w:t>
            </w:r>
          </w:p>
        </w:tc>
        <w:tc>
          <w:tcPr>
            <w:tcW w:w="2925" w:type="dxa"/>
          </w:tcPr>
          <w:p w14:paraId="4CB845BE" w14:textId="77777777" w:rsidR="004F2224" w:rsidRPr="00170C45" w:rsidRDefault="004F2224">
            <w:pPr>
              <w:rPr>
                <w:b/>
                <w:bCs/>
                <w:lang w:val="en-US"/>
              </w:rPr>
            </w:pPr>
            <w:r w:rsidRPr="00170C45">
              <w:rPr>
                <w:b/>
                <w:bCs/>
                <w:lang w:val="en-US"/>
              </w:rPr>
              <w:t>Down-regulated genes</w:t>
            </w:r>
          </w:p>
        </w:tc>
      </w:tr>
      <w:tr w:rsidR="004F2224" w14:paraId="6F4945E1" w14:textId="77777777" w:rsidTr="00B06138">
        <w:tc>
          <w:tcPr>
            <w:tcW w:w="2254" w:type="dxa"/>
          </w:tcPr>
          <w:p w14:paraId="5F0A1ACC" w14:textId="77777777" w:rsidR="004F2224" w:rsidRDefault="004F2224">
            <w:proofErr w:type="spellStart"/>
            <w:r w:rsidRPr="00B06138">
              <w:t>Metabolic</w:t>
            </w:r>
            <w:proofErr w:type="spellEnd"/>
            <w:r w:rsidRPr="00B06138">
              <w:t xml:space="preserve"> pathways</w:t>
            </w:r>
          </w:p>
        </w:tc>
        <w:tc>
          <w:tcPr>
            <w:tcW w:w="860" w:type="dxa"/>
          </w:tcPr>
          <w:p w14:paraId="21B3001E" w14:textId="77777777" w:rsidR="004F2224" w:rsidRPr="002F3EE3" w:rsidRDefault="004F2224">
            <w:pPr>
              <w:rPr>
                <w:lang w:val="en-US"/>
              </w:rPr>
            </w:pPr>
            <w:r>
              <w:rPr>
                <w:lang w:val="en-US"/>
              </w:rPr>
              <w:t>202</w:t>
            </w:r>
          </w:p>
        </w:tc>
        <w:tc>
          <w:tcPr>
            <w:tcW w:w="2977" w:type="dxa"/>
          </w:tcPr>
          <w:p w14:paraId="6B1849F9" w14:textId="77777777" w:rsidR="004F2224" w:rsidRPr="004F2224" w:rsidRDefault="004F2224">
            <w:pPr>
              <w:rPr>
                <w:lang w:val="en-US"/>
              </w:rPr>
            </w:pPr>
            <w:r w:rsidRPr="004F2224">
              <w:rPr>
                <w:lang w:val="en-US"/>
              </w:rPr>
              <w:t>COX1, ACS1, GDH3, PHO11, PRX1, UGA2, ETR1, CHS2, PHO5, TKL2, TPS1, LEU2, GLK1, CIT2, PGK1, GPM2, DIA3, THI3, LYS20, GUD1, THI13, TPI1, TPS2, AMD2, DPL1, IPK1, GLC3, DLD3, FAA2, GPP2, DAK2, GSY1, HXK1, PMA1, PDE1, ADH4, NQM1, PDC6, CTT1, THI4, TDH3, SOL4, ENO1, GND2, INM1, GRE3, ENO2, FAA3, CAB2, SGA1, COX5B, AYR1, SUC2, TDH1, LSB6, GSH1, INO1, TDH2, UTR1, OPI3, MET5, PGU1, THI11, SOR1, UGP1, OAR1, FBA1, RMA1, GPM1, GLG1, GPT2, MHT1, PUT1, GSY2, MET17, CAR2, HMG2, DAK1, TSL1, ADI1, FMS1, PGM2, ALD3, ALD2, GAD1, TPS3, URA10, ERR3, IDP3, MET2, BIO4, BIO3, MAN2, THI20, GCY1, HIS3, CPA1, PYK2, ALD4, HSP33, HST2, PMA2, HSP32, ERR2, CIT3, ATH1, pyridoxine-4-dehydrogenase, GPH1, GDB1</w:t>
            </w:r>
          </w:p>
        </w:tc>
        <w:tc>
          <w:tcPr>
            <w:tcW w:w="2925" w:type="dxa"/>
          </w:tcPr>
          <w:p w14:paraId="1DDAD5D0" w14:textId="77777777" w:rsidR="004F2224" w:rsidRPr="004F2224" w:rsidRDefault="004F2224">
            <w:pPr>
              <w:rPr>
                <w:lang w:val="en-US"/>
              </w:rPr>
            </w:pPr>
            <w:r w:rsidRPr="004F2224">
              <w:rPr>
                <w:lang w:val="en-US"/>
              </w:rPr>
              <w:t>CYS3, PMT2, URA7, COR1, PRS4, MNN2, CHS3, CDS1, ATP3, MIS1, TYR1, ALG7, ARO4, DUT1, TSC10, APA1, CHA1, ELO2, THR4, PSA1, PMT5, QRI1, FAP7, DLD2, KGD2, QCR7, RIP1, PMI40, SAH1, RNR1, ADK2, SEC53, QCR6, ERG4, OCH1, ARO2, HXK2, ERG25, ASN2, ERG11, COX6, FUR1, ARO9, DCD1, BAT1, IMD2, HIS6, RNR2, RPE1, MNN11, ILV3, HAM1, PMT4, SDH3, SDH1, URA1, PCK1, SDH2, MEU1, COX12, ERG3, ACS2, ACO1, ELO3, IMD3, ERG6, OST6, APT1, IMD4, ERG5, ERG2, GUA1, ADH6, NCE103, IDH1, COX5A, NRK1, AAH1, ATP19, CYT1, CDC21, LEU9, IDH2, LIP5, MNN9, KTR6, BTS1, CAR1, ALG5, SAM4, ARO7, DPM1, QCR2</w:t>
            </w:r>
          </w:p>
        </w:tc>
      </w:tr>
      <w:tr w:rsidR="004F2224" w14:paraId="4F27F90A" w14:textId="77777777" w:rsidTr="00B06138">
        <w:tc>
          <w:tcPr>
            <w:tcW w:w="2254" w:type="dxa"/>
          </w:tcPr>
          <w:p w14:paraId="690AC737" w14:textId="77777777" w:rsidR="004F2224" w:rsidRDefault="004F2224">
            <w:proofErr w:type="spellStart"/>
            <w:r w:rsidRPr="00B06138">
              <w:t>Ribosome</w:t>
            </w:r>
            <w:proofErr w:type="spellEnd"/>
          </w:p>
        </w:tc>
        <w:tc>
          <w:tcPr>
            <w:tcW w:w="860" w:type="dxa"/>
          </w:tcPr>
          <w:p w14:paraId="5D897A32" w14:textId="77777777" w:rsidR="004F2224" w:rsidRPr="002F3EE3" w:rsidRDefault="004F2224">
            <w:pPr>
              <w:rPr>
                <w:lang w:val="en-US"/>
              </w:rPr>
            </w:pPr>
            <w:r>
              <w:rPr>
                <w:lang w:val="en-US"/>
              </w:rPr>
              <w:t>137</w:t>
            </w:r>
          </w:p>
        </w:tc>
        <w:tc>
          <w:tcPr>
            <w:tcW w:w="2977" w:type="dxa"/>
          </w:tcPr>
          <w:p w14:paraId="7E21BB9C" w14:textId="77777777" w:rsidR="004F2224" w:rsidRPr="00D55851" w:rsidRDefault="004F2224">
            <w:pPr>
              <w:rPr>
                <w:lang w:val="en-US"/>
              </w:rPr>
            </w:pPr>
            <w:r>
              <w:rPr>
                <w:lang w:val="en-US"/>
              </w:rPr>
              <w:t>-</w:t>
            </w:r>
          </w:p>
        </w:tc>
        <w:tc>
          <w:tcPr>
            <w:tcW w:w="2925" w:type="dxa"/>
          </w:tcPr>
          <w:p w14:paraId="6F273BA4" w14:textId="77777777" w:rsidR="004F2224" w:rsidRPr="004F2224" w:rsidRDefault="004F2224">
            <w:pPr>
              <w:rPr>
                <w:lang w:val="en-US"/>
              </w:rPr>
            </w:pPr>
            <w:r w:rsidRPr="004F2224">
              <w:rPr>
                <w:lang w:val="en-US"/>
              </w:rPr>
              <w:t>RPS9B, RPL21A, MRPL32, RPS14A, RPL31A, RPP1A, RPL13A, RPP1B, RPL41A, RPL41A, RPL35A, RPL35A, MRPL11, RPS11A, RPS11A, RPS13, MRPL1, MRPL7, RPP2B, MRP20, RPS17B, RPL27B, RPL37B, RPL12A, RPL12A, RPL34A, RPS8B, RPS8B, RPL23B, RPL23B, RPS26B, RPL29, RPL24A, MNP1, RPL7A, RPL28, RPS2, RPL9A, RPS26A, RPS25A, RPL26B, RPL11B, RPL24B, RPS0A, MRPL9, RPL14B, RPS20, RPL8A, RPL27A, RPS27B, RPL2B, RPL2B, RPL34B, RPS24B, RPS24B, RPL16A, MRPL8, MRPL49, RPS21B, RPL17B, RPL39, RPS22A, RPS5, RPS4A, RPS4A, RPL14A, RPS27A, RPL17A, RPS21A, RPL40B, RPL40B, RPL8B, RLP24, RPL15A, RPS0B, RPL22A, RPL10, RPS31, RPL37A, RPL38, RPS25B, RPP0, RPL26A, RPL31B, RPS1A, RPL6B, MRPL39, RPS17A, RPS18B, RPS18B, RPS1B, RPL6A, RPL13B, RPS16A, RPS16A, MRPS17, MRPL24, RPL36A, RPS10B, RLP7, RPL9B, RPL16B, RPS7B, RPL42A, RPL42A, RPS3, MRPL19, RPS19B, RPP2A, RPS15, RPL18A, RPS19A, RPL25, RPL3, RPS7A, RPS28A, RPS30B, RPL33B, RPS10A, RPL20B, RPL20B, RPS12, RPL21B, RPS9A, RPS6A, RPS6A, RPL5, RPL33A, MRPL40, RPL1A, RPL1A, RPL36B, RPL43A, RPL43A, RPL11A, RPS23B, RPS23B</w:t>
            </w:r>
          </w:p>
        </w:tc>
      </w:tr>
      <w:tr w:rsidR="004F2224" w14:paraId="76145CB1" w14:textId="77777777" w:rsidTr="00B06138">
        <w:tc>
          <w:tcPr>
            <w:tcW w:w="2254" w:type="dxa"/>
          </w:tcPr>
          <w:p w14:paraId="4B89D537" w14:textId="77777777" w:rsidR="004F2224" w:rsidRDefault="004F2224">
            <w:proofErr w:type="spellStart"/>
            <w:r w:rsidRPr="00B06138">
              <w:t>Biosynthesis</w:t>
            </w:r>
            <w:proofErr w:type="spellEnd"/>
            <w:r w:rsidRPr="00B06138">
              <w:t xml:space="preserve"> of </w:t>
            </w:r>
            <w:proofErr w:type="spellStart"/>
            <w:r w:rsidRPr="00B06138">
              <w:t>secondary</w:t>
            </w:r>
            <w:proofErr w:type="spellEnd"/>
            <w:r w:rsidRPr="00B06138">
              <w:t xml:space="preserve"> </w:t>
            </w:r>
            <w:proofErr w:type="spellStart"/>
            <w:r w:rsidRPr="00B06138">
              <w:t>metabolites</w:t>
            </w:r>
            <w:proofErr w:type="spellEnd"/>
          </w:p>
        </w:tc>
        <w:tc>
          <w:tcPr>
            <w:tcW w:w="860" w:type="dxa"/>
          </w:tcPr>
          <w:p w14:paraId="01C57DFE" w14:textId="77777777" w:rsidR="004F2224" w:rsidRPr="002F3EE3" w:rsidRDefault="004F2224">
            <w:pPr>
              <w:rPr>
                <w:lang w:val="en-US"/>
              </w:rPr>
            </w:pPr>
            <w:r>
              <w:rPr>
                <w:lang w:val="en-US"/>
              </w:rPr>
              <w:t>107</w:t>
            </w:r>
          </w:p>
        </w:tc>
        <w:tc>
          <w:tcPr>
            <w:tcW w:w="2977" w:type="dxa"/>
          </w:tcPr>
          <w:p w14:paraId="107F390A" w14:textId="77777777" w:rsidR="004F2224" w:rsidRPr="004F2224" w:rsidRDefault="004F2224">
            <w:pPr>
              <w:rPr>
                <w:lang w:val="en-US"/>
              </w:rPr>
            </w:pPr>
            <w:r w:rsidRPr="004F2224">
              <w:rPr>
                <w:lang w:val="en-US"/>
              </w:rPr>
              <w:t>ACS1, TKL2, TPS1, LEU2, GLK1, CIT2, PGK1, GPM2, THI3, LYS20, TPI1, TPS2, GLC3, GSY1, HXK1, ADH4, NQM1, PDC6, CTT1, TDH3, SOL4, ENO1, GND2, INM1, ENO2, SUC2, TDH1, INO1, TDH2, OPI3, UGP1, OAR1, FBA1, GPM1, GLG1, GPT2, MHT1, PUT1, GSY2, MET17, CAR2, HMG2, TSL1, PGM2, ALD3, ALD2, GAD1, TPS3, ERR3, IDP3, MET2, HIS3, PYK2, ALD4, ERR2, CIT3, ATH1, GPH1, GDB1</w:t>
            </w:r>
          </w:p>
        </w:tc>
        <w:tc>
          <w:tcPr>
            <w:tcW w:w="2925" w:type="dxa"/>
          </w:tcPr>
          <w:p w14:paraId="7BBBFE36" w14:textId="77777777" w:rsidR="004F2224" w:rsidRPr="004F2224" w:rsidRDefault="004F2224">
            <w:pPr>
              <w:rPr>
                <w:lang w:val="en-US"/>
              </w:rPr>
            </w:pPr>
            <w:r w:rsidRPr="004F2224">
              <w:rPr>
                <w:lang w:val="en-US"/>
              </w:rPr>
              <w:t>CYS3, PRS4, CDS1, TYR1, ARO4, CHA1, ELO2, THR4, PSA1, FAP7, KGD2, LPP1, PMI40, ADK2, SEC53, ERG4, ARO2, HXK2, ERG25, ASN2, ERG11, ARO9, BAT1, IMD2, HIS6, RPE1, ILV3, SDH3, SDH1, PCK1, SDH2, ERG3, ACS2, ACO1, ELO3, IMD3, ERG6, IMD4, ERG5, ERG2, ADH6, IDH1, LEU9, IDH2, BTS1, CAR1, SAM4, ARO7</w:t>
            </w:r>
          </w:p>
        </w:tc>
      </w:tr>
      <w:tr w:rsidR="004F2224" w14:paraId="7F276D05" w14:textId="77777777" w:rsidTr="00B06138">
        <w:tc>
          <w:tcPr>
            <w:tcW w:w="2254" w:type="dxa"/>
          </w:tcPr>
          <w:p w14:paraId="0634F4E8" w14:textId="77777777" w:rsidR="004F2224" w:rsidRDefault="004F2224">
            <w:r w:rsidRPr="00B06138">
              <w:t xml:space="preserve">Carbon </w:t>
            </w:r>
            <w:proofErr w:type="spellStart"/>
            <w:r w:rsidRPr="00B06138">
              <w:t>metabolism</w:t>
            </w:r>
            <w:proofErr w:type="spellEnd"/>
          </w:p>
        </w:tc>
        <w:tc>
          <w:tcPr>
            <w:tcW w:w="860" w:type="dxa"/>
          </w:tcPr>
          <w:p w14:paraId="38A40C79" w14:textId="77777777" w:rsidR="004F2224" w:rsidRPr="002F3EE3" w:rsidRDefault="004F2224">
            <w:pPr>
              <w:rPr>
                <w:lang w:val="en-US"/>
              </w:rPr>
            </w:pPr>
            <w:r>
              <w:rPr>
                <w:lang w:val="en-US"/>
              </w:rPr>
              <w:t>40</w:t>
            </w:r>
          </w:p>
        </w:tc>
        <w:tc>
          <w:tcPr>
            <w:tcW w:w="2977" w:type="dxa"/>
          </w:tcPr>
          <w:p w14:paraId="087F4D89" w14:textId="77777777" w:rsidR="004F2224" w:rsidRPr="004F2224" w:rsidRDefault="004F2224">
            <w:pPr>
              <w:rPr>
                <w:lang w:val="en-US"/>
              </w:rPr>
            </w:pPr>
            <w:r w:rsidRPr="004F2224">
              <w:rPr>
                <w:lang w:val="en-US"/>
              </w:rPr>
              <w:t>ACS1, TKL2, GLK1, CIT2, PGK1, GPM2, TPI1, DAK2, HXK1, NQM1, CTT1, TDH3, SOL4, ENO1, GND2, ENO2, TDH1, TDH2, FBA1, GPM1, MET17, DAK1, ERR3, IDP3, PYK2, ERR2, CIT3</w:t>
            </w:r>
          </w:p>
        </w:tc>
        <w:tc>
          <w:tcPr>
            <w:tcW w:w="2925" w:type="dxa"/>
          </w:tcPr>
          <w:p w14:paraId="16CE3080" w14:textId="77777777" w:rsidR="004F2224" w:rsidRPr="004F2224" w:rsidRDefault="004F2224">
            <w:pPr>
              <w:rPr>
                <w:lang w:val="en-US"/>
              </w:rPr>
            </w:pPr>
            <w:r w:rsidRPr="004F2224">
              <w:rPr>
                <w:lang w:val="en-US"/>
              </w:rPr>
              <w:t>PRS4, CHA1, KGD2, HXK2, RPE1, SDH3, SDH1, PCK1, SDH2, ACS2, ACO1, IDH1, IDH2</w:t>
            </w:r>
          </w:p>
        </w:tc>
      </w:tr>
      <w:tr w:rsidR="004F2224" w14:paraId="42631AF4" w14:textId="77777777" w:rsidTr="00B06138">
        <w:tc>
          <w:tcPr>
            <w:tcW w:w="2254" w:type="dxa"/>
          </w:tcPr>
          <w:p w14:paraId="268E66CF" w14:textId="77777777" w:rsidR="004F2224" w:rsidRDefault="004F2224">
            <w:proofErr w:type="spellStart"/>
            <w:r w:rsidRPr="00B06138">
              <w:t>Biosynthesis</w:t>
            </w:r>
            <w:proofErr w:type="spellEnd"/>
            <w:r w:rsidRPr="00B06138">
              <w:t xml:space="preserve"> of amino acids</w:t>
            </w:r>
          </w:p>
        </w:tc>
        <w:tc>
          <w:tcPr>
            <w:tcW w:w="860" w:type="dxa"/>
          </w:tcPr>
          <w:p w14:paraId="400ACEC4" w14:textId="77777777" w:rsidR="004F2224" w:rsidRPr="002F3EE3" w:rsidRDefault="004F2224">
            <w:pPr>
              <w:rPr>
                <w:lang w:val="en-US"/>
              </w:rPr>
            </w:pPr>
            <w:r>
              <w:rPr>
                <w:lang w:val="en-US"/>
              </w:rPr>
              <w:t>41</w:t>
            </w:r>
          </w:p>
        </w:tc>
        <w:tc>
          <w:tcPr>
            <w:tcW w:w="2977" w:type="dxa"/>
          </w:tcPr>
          <w:p w14:paraId="79AB1E8D" w14:textId="77777777" w:rsidR="004F2224" w:rsidRPr="004F2224" w:rsidRDefault="004F2224">
            <w:pPr>
              <w:rPr>
                <w:lang w:val="en-US"/>
              </w:rPr>
            </w:pPr>
            <w:r w:rsidRPr="004F2224">
              <w:rPr>
                <w:lang w:val="en-US"/>
              </w:rPr>
              <w:t>TKL2, LEU2, CIT2, PGK1, GPM2, LYS20, TPI1, NQM1, TDH3, ENO1, ENO2, TDH1, TDH2, FBA1, GPM1, MET17, ERR3, IDP3, MET2, HIS3, PYK2, ERR2, CIT3</w:t>
            </w:r>
          </w:p>
        </w:tc>
        <w:tc>
          <w:tcPr>
            <w:tcW w:w="2925" w:type="dxa"/>
          </w:tcPr>
          <w:p w14:paraId="34BFEFE6" w14:textId="77777777" w:rsidR="004F2224" w:rsidRPr="004F2224" w:rsidRDefault="004F2224">
            <w:pPr>
              <w:rPr>
                <w:lang w:val="en-US"/>
              </w:rPr>
            </w:pPr>
            <w:r w:rsidRPr="004F2224">
              <w:rPr>
                <w:lang w:val="en-US"/>
              </w:rPr>
              <w:t>CYS3, PRS4, TYR1, ARO4, CHA1, THR4, ARO2, ASN2, BAT1, HIS6, RPE1, ILV3, ACO1, IDH1, LEU9, IDH2, CAR1, ARO7</w:t>
            </w:r>
          </w:p>
        </w:tc>
      </w:tr>
      <w:tr w:rsidR="004F2224" w14:paraId="4F7659B0" w14:textId="77777777" w:rsidTr="00B06138">
        <w:tc>
          <w:tcPr>
            <w:tcW w:w="2254" w:type="dxa"/>
          </w:tcPr>
          <w:p w14:paraId="6F0DD8A8" w14:textId="77777777" w:rsidR="004F2224" w:rsidRDefault="004F2224">
            <w:r w:rsidRPr="00B06138">
              <w:t xml:space="preserve">Cell </w:t>
            </w:r>
            <w:proofErr w:type="spellStart"/>
            <w:r w:rsidRPr="00B06138">
              <w:t>cycle</w:t>
            </w:r>
            <w:proofErr w:type="spellEnd"/>
          </w:p>
        </w:tc>
        <w:tc>
          <w:tcPr>
            <w:tcW w:w="860" w:type="dxa"/>
          </w:tcPr>
          <w:p w14:paraId="013D92F5" w14:textId="77777777" w:rsidR="004F2224" w:rsidRPr="002F3EE3" w:rsidRDefault="004F2224">
            <w:pPr>
              <w:rPr>
                <w:lang w:val="en-US"/>
              </w:rPr>
            </w:pPr>
            <w:r>
              <w:rPr>
                <w:lang w:val="en-US"/>
              </w:rPr>
              <w:t>41</w:t>
            </w:r>
          </w:p>
        </w:tc>
        <w:tc>
          <w:tcPr>
            <w:tcW w:w="2977" w:type="dxa"/>
          </w:tcPr>
          <w:p w14:paraId="323B601A" w14:textId="77777777" w:rsidR="004F2224" w:rsidRPr="004F2224" w:rsidRDefault="004F2224">
            <w:pPr>
              <w:rPr>
                <w:lang w:val="en-US"/>
              </w:rPr>
            </w:pPr>
            <w:r w:rsidRPr="004F2224">
              <w:rPr>
                <w:lang w:val="en-US"/>
              </w:rPr>
              <w:t>CLN3, PHO11, PHO5, PCL9, CDC20, CLB1, MET30, PHO80</w:t>
            </w:r>
          </w:p>
        </w:tc>
        <w:tc>
          <w:tcPr>
            <w:tcW w:w="2925" w:type="dxa"/>
          </w:tcPr>
          <w:p w14:paraId="2AE28789" w14:textId="77777777" w:rsidR="004F2224" w:rsidRPr="004F2224" w:rsidRDefault="004F2224">
            <w:pPr>
              <w:rPr>
                <w:lang w:val="en-US"/>
              </w:rPr>
            </w:pPr>
            <w:r w:rsidRPr="004F2224">
              <w:rPr>
                <w:lang w:val="en-US"/>
              </w:rPr>
              <w:t xml:space="preserve">LTE1, BRN1, CYC8, KCC4, MRC1, TUP1, MCD1, CDC7, DUN1, PCL2, DBF4, PDS1, YHP1, GIN4, SMC1, CDC14, CDC26, CLB6, IRR1, SMC3, SWE1, BFA1, HSL1, CDC45, YCS4, YOX1, CLN1, PCL1, BUB3, SLK19, </w:t>
            </w:r>
            <w:r w:rsidRPr="00C85668">
              <w:rPr>
                <w:lang w:val="en-US"/>
              </w:rPr>
              <w:t>RAD53,</w:t>
            </w:r>
            <w:r w:rsidRPr="004F2224">
              <w:rPr>
                <w:lang w:val="en-US"/>
              </w:rPr>
              <w:t xml:space="preserve"> CLN2, CLB5</w:t>
            </w:r>
          </w:p>
        </w:tc>
      </w:tr>
      <w:tr w:rsidR="004F2224" w14:paraId="68ACDAAF" w14:textId="77777777" w:rsidTr="00B06138">
        <w:tc>
          <w:tcPr>
            <w:tcW w:w="2254" w:type="dxa"/>
          </w:tcPr>
          <w:p w14:paraId="0A5B9F01" w14:textId="77777777" w:rsidR="004F2224" w:rsidRDefault="004F2224">
            <w:r w:rsidRPr="00B06138">
              <w:t xml:space="preserve">MAPK </w:t>
            </w:r>
            <w:proofErr w:type="spellStart"/>
            <w:r w:rsidRPr="00B06138">
              <w:t>signaling</w:t>
            </w:r>
            <w:proofErr w:type="spellEnd"/>
            <w:r w:rsidRPr="00B06138">
              <w:t xml:space="preserve"> pathway</w:t>
            </w:r>
          </w:p>
        </w:tc>
        <w:tc>
          <w:tcPr>
            <w:tcW w:w="860" w:type="dxa"/>
          </w:tcPr>
          <w:p w14:paraId="77EF8DED" w14:textId="77777777" w:rsidR="004F2224" w:rsidRDefault="004F2224" w:rsidP="000E1282">
            <w:pPr>
              <w:rPr>
                <w:rFonts w:ascii="Calibri" w:hAnsi="Calibri" w:cs="Calibri"/>
                <w:color w:val="000000"/>
              </w:rPr>
            </w:pPr>
            <w:r>
              <w:rPr>
                <w:rFonts w:ascii="Calibri" w:hAnsi="Calibri" w:cs="Calibri"/>
                <w:color w:val="000000"/>
              </w:rPr>
              <w:t>29</w:t>
            </w:r>
          </w:p>
          <w:p w14:paraId="3C24AF84" w14:textId="77777777" w:rsidR="004F2224" w:rsidRDefault="004F2224"/>
        </w:tc>
        <w:tc>
          <w:tcPr>
            <w:tcW w:w="2977" w:type="dxa"/>
          </w:tcPr>
          <w:p w14:paraId="666E1C83" w14:textId="77777777" w:rsidR="004F2224" w:rsidRPr="004F2224" w:rsidRDefault="004F2224">
            <w:pPr>
              <w:rPr>
                <w:lang w:val="en-US"/>
              </w:rPr>
            </w:pPr>
            <w:r w:rsidRPr="004F2224">
              <w:rPr>
                <w:lang w:val="en-US"/>
              </w:rPr>
              <w:t>PKH1, STE2, MTL1, ROM1, CTT1, CLB1, SDP1, MSN4, TUS1, SST2, PKH2, WSC3</w:t>
            </w:r>
          </w:p>
        </w:tc>
        <w:tc>
          <w:tcPr>
            <w:tcW w:w="2925" w:type="dxa"/>
          </w:tcPr>
          <w:p w14:paraId="2948CB52" w14:textId="77777777" w:rsidR="004F2224" w:rsidRPr="004F2224" w:rsidRDefault="004F2224">
            <w:pPr>
              <w:rPr>
                <w:lang w:val="en-US"/>
              </w:rPr>
            </w:pPr>
            <w:r w:rsidRPr="004F2224">
              <w:rPr>
                <w:lang w:val="en-US"/>
              </w:rPr>
              <w:t>CYC8, PAF1, TUP1, MKC7, DIG2, SHO1, MSB2, CLB6, SWE1, HSL1, SPA2, CDC42, CLN1, WSC2, CLA4, CLN2, CLB5</w:t>
            </w:r>
          </w:p>
        </w:tc>
      </w:tr>
      <w:tr w:rsidR="004F2224" w14:paraId="2BEE4C0D" w14:textId="77777777" w:rsidTr="00B06138">
        <w:tc>
          <w:tcPr>
            <w:tcW w:w="2254" w:type="dxa"/>
          </w:tcPr>
          <w:p w14:paraId="4A4E59DE" w14:textId="77777777" w:rsidR="004F2224" w:rsidRDefault="004F2224">
            <w:proofErr w:type="spellStart"/>
            <w:r w:rsidRPr="00B06138">
              <w:t>Glycolysis</w:t>
            </w:r>
            <w:proofErr w:type="spellEnd"/>
            <w:r w:rsidRPr="00B06138">
              <w:t xml:space="preserve"> / </w:t>
            </w:r>
            <w:proofErr w:type="spellStart"/>
            <w:r w:rsidRPr="00B06138">
              <w:t>Gluconeogenesis</w:t>
            </w:r>
            <w:proofErr w:type="spellEnd"/>
          </w:p>
        </w:tc>
        <w:tc>
          <w:tcPr>
            <w:tcW w:w="860" w:type="dxa"/>
          </w:tcPr>
          <w:p w14:paraId="3ADA81E0" w14:textId="77777777" w:rsidR="004F2224" w:rsidRPr="000E1282" w:rsidRDefault="004F2224">
            <w:pPr>
              <w:rPr>
                <w:lang w:val="en-US"/>
              </w:rPr>
            </w:pPr>
            <w:r>
              <w:rPr>
                <w:lang w:val="en-US"/>
              </w:rPr>
              <w:t>27</w:t>
            </w:r>
          </w:p>
        </w:tc>
        <w:tc>
          <w:tcPr>
            <w:tcW w:w="2977" w:type="dxa"/>
          </w:tcPr>
          <w:p w14:paraId="6BB53B40" w14:textId="77777777" w:rsidR="004F2224" w:rsidRPr="004F2224" w:rsidRDefault="004F2224">
            <w:pPr>
              <w:rPr>
                <w:lang w:val="en-US"/>
              </w:rPr>
            </w:pPr>
            <w:r w:rsidRPr="004F2224">
              <w:rPr>
                <w:lang w:val="en-US"/>
              </w:rPr>
              <w:t>ACS1, GLK1, PGK1, GPM2, THI3, TPI1, HXK1, ADH4, PDC6, TDH3, ENO1, ENO2, TDH1, TDH2, FBA1, GPM1, PGM2, ALD3, ALD2, ERR3, PYK2, ALD4, ERR2</w:t>
            </w:r>
          </w:p>
        </w:tc>
        <w:tc>
          <w:tcPr>
            <w:tcW w:w="2925" w:type="dxa"/>
          </w:tcPr>
          <w:p w14:paraId="22AEEE07" w14:textId="77777777" w:rsidR="004F2224" w:rsidRDefault="004F2224">
            <w:r w:rsidRPr="006326A4">
              <w:t>HXK2, PCK1, ACS2, ADH6</w:t>
            </w:r>
          </w:p>
        </w:tc>
      </w:tr>
      <w:tr w:rsidR="004F2224" w14:paraId="08ACE405" w14:textId="77777777" w:rsidTr="00B06138">
        <w:tc>
          <w:tcPr>
            <w:tcW w:w="2254" w:type="dxa"/>
          </w:tcPr>
          <w:p w14:paraId="6FE84977" w14:textId="77777777" w:rsidR="004F2224" w:rsidRPr="00B06138" w:rsidRDefault="004F2224">
            <w:proofErr w:type="spellStart"/>
            <w:r w:rsidRPr="00B06138">
              <w:t>Oxidative</w:t>
            </w:r>
            <w:proofErr w:type="spellEnd"/>
            <w:r w:rsidRPr="00B06138">
              <w:t xml:space="preserve"> </w:t>
            </w:r>
            <w:proofErr w:type="spellStart"/>
            <w:r w:rsidRPr="00B06138">
              <w:t>phosphorylation</w:t>
            </w:r>
            <w:proofErr w:type="spellEnd"/>
          </w:p>
        </w:tc>
        <w:tc>
          <w:tcPr>
            <w:tcW w:w="860" w:type="dxa"/>
          </w:tcPr>
          <w:p w14:paraId="3D5743A8" w14:textId="77777777" w:rsidR="004F2224" w:rsidRPr="000E1282" w:rsidRDefault="004F2224">
            <w:pPr>
              <w:rPr>
                <w:lang w:val="en-US"/>
              </w:rPr>
            </w:pPr>
            <w:r>
              <w:rPr>
                <w:lang w:val="en-US"/>
              </w:rPr>
              <w:t>18</w:t>
            </w:r>
          </w:p>
        </w:tc>
        <w:tc>
          <w:tcPr>
            <w:tcW w:w="2977" w:type="dxa"/>
          </w:tcPr>
          <w:p w14:paraId="57CB4D63" w14:textId="77777777" w:rsidR="004F2224" w:rsidRPr="00B33823" w:rsidRDefault="004F2224">
            <w:pPr>
              <w:rPr>
                <w:lang w:val="en-US"/>
              </w:rPr>
            </w:pPr>
            <w:r w:rsidRPr="004728D4">
              <w:t>COX1, PMA1, COX5B, PMA2</w:t>
            </w:r>
            <w:r>
              <w:rPr>
                <w:lang w:val="en-US"/>
              </w:rPr>
              <w:t>, CYC1</w:t>
            </w:r>
          </w:p>
        </w:tc>
        <w:tc>
          <w:tcPr>
            <w:tcW w:w="2925" w:type="dxa"/>
          </w:tcPr>
          <w:p w14:paraId="2D64A223" w14:textId="77777777" w:rsidR="004F2224" w:rsidRPr="00B33823" w:rsidRDefault="004F2224">
            <w:pPr>
              <w:rPr>
                <w:lang w:val="en-US"/>
              </w:rPr>
            </w:pPr>
            <w:r w:rsidRPr="004F2224">
              <w:rPr>
                <w:lang w:val="en-US"/>
              </w:rPr>
              <w:t>COR1, ATP3, QCR7, RIP1, QCR6, COX6, SDH3, SDH1, SDH2, COX12, COX5A, ATP19, CYT1, QCR2</w:t>
            </w:r>
            <w:r>
              <w:rPr>
                <w:lang w:val="en-US"/>
              </w:rPr>
              <w:t>, CYC7</w:t>
            </w:r>
          </w:p>
        </w:tc>
      </w:tr>
      <w:tr w:rsidR="004F2224" w14:paraId="62E48C02" w14:textId="77777777" w:rsidTr="00B06138">
        <w:tc>
          <w:tcPr>
            <w:tcW w:w="2254" w:type="dxa"/>
          </w:tcPr>
          <w:p w14:paraId="6BB45C58" w14:textId="77777777" w:rsidR="004F2224" w:rsidRPr="00B06138" w:rsidRDefault="004F2224">
            <w:proofErr w:type="spellStart"/>
            <w:r w:rsidRPr="00B06138">
              <w:t>Starch</w:t>
            </w:r>
            <w:proofErr w:type="spellEnd"/>
            <w:r w:rsidRPr="00B06138">
              <w:t xml:space="preserve"> and </w:t>
            </w:r>
            <w:proofErr w:type="spellStart"/>
            <w:r w:rsidRPr="00B06138">
              <w:t>sucrose</w:t>
            </w:r>
            <w:proofErr w:type="spellEnd"/>
            <w:r w:rsidRPr="00B06138">
              <w:t xml:space="preserve"> </w:t>
            </w:r>
            <w:proofErr w:type="spellStart"/>
            <w:r w:rsidRPr="00B06138">
              <w:t>metabolism</w:t>
            </w:r>
            <w:proofErr w:type="spellEnd"/>
          </w:p>
        </w:tc>
        <w:tc>
          <w:tcPr>
            <w:tcW w:w="860" w:type="dxa"/>
          </w:tcPr>
          <w:p w14:paraId="01479595" w14:textId="77777777" w:rsidR="004F2224" w:rsidRPr="000E1282" w:rsidRDefault="004F2224">
            <w:pPr>
              <w:rPr>
                <w:lang w:val="en-US"/>
              </w:rPr>
            </w:pPr>
            <w:r>
              <w:rPr>
                <w:lang w:val="en-US"/>
              </w:rPr>
              <w:t>18</w:t>
            </w:r>
          </w:p>
        </w:tc>
        <w:tc>
          <w:tcPr>
            <w:tcW w:w="2977" w:type="dxa"/>
          </w:tcPr>
          <w:p w14:paraId="3242211D" w14:textId="77777777" w:rsidR="004F2224" w:rsidRPr="004F2224" w:rsidRDefault="004F2224">
            <w:pPr>
              <w:rPr>
                <w:lang w:val="en-US"/>
              </w:rPr>
            </w:pPr>
            <w:r w:rsidRPr="004F2224">
              <w:rPr>
                <w:lang w:val="en-US"/>
              </w:rPr>
              <w:t>TPS1, GLK1, TPS2, GLC3, GSY1, HXK1, SGA1, SUC2, UGP1, GLG1, GSY2, TSL1, PGM2, TPS3, ATH1, GPH1, GDB1</w:t>
            </w:r>
          </w:p>
        </w:tc>
        <w:tc>
          <w:tcPr>
            <w:tcW w:w="2925" w:type="dxa"/>
          </w:tcPr>
          <w:p w14:paraId="2DFD20EA" w14:textId="77777777" w:rsidR="004F2224" w:rsidRDefault="004F2224">
            <w:r w:rsidRPr="004728D4">
              <w:t>HXK2</w:t>
            </w:r>
          </w:p>
        </w:tc>
      </w:tr>
      <w:tr w:rsidR="004F2224" w14:paraId="59F0C0D9" w14:textId="77777777" w:rsidTr="00B06138">
        <w:tc>
          <w:tcPr>
            <w:tcW w:w="2254" w:type="dxa"/>
          </w:tcPr>
          <w:p w14:paraId="74DC067F" w14:textId="77777777" w:rsidR="004F2224" w:rsidRPr="00B06138" w:rsidRDefault="004F2224">
            <w:r w:rsidRPr="00B06138">
              <w:t xml:space="preserve">DNA </w:t>
            </w:r>
            <w:proofErr w:type="spellStart"/>
            <w:r w:rsidRPr="00B06138">
              <w:t>replication</w:t>
            </w:r>
            <w:proofErr w:type="spellEnd"/>
          </w:p>
        </w:tc>
        <w:tc>
          <w:tcPr>
            <w:tcW w:w="860" w:type="dxa"/>
          </w:tcPr>
          <w:p w14:paraId="37F22F85" w14:textId="77777777" w:rsidR="004F2224" w:rsidRPr="00262F2A" w:rsidRDefault="004F2224">
            <w:pPr>
              <w:rPr>
                <w:lang w:val="en-US"/>
              </w:rPr>
            </w:pPr>
            <w:r>
              <w:rPr>
                <w:lang w:val="en-US"/>
              </w:rPr>
              <w:t>17</w:t>
            </w:r>
          </w:p>
        </w:tc>
        <w:tc>
          <w:tcPr>
            <w:tcW w:w="2977" w:type="dxa"/>
          </w:tcPr>
          <w:p w14:paraId="6115E50B" w14:textId="77777777" w:rsidR="004F2224" w:rsidRPr="004728D4" w:rsidRDefault="004F2224">
            <w:pPr>
              <w:rPr>
                <w:lang w:val="en-US"/>
              </w:rPr>
            </w:pPr>
            <w:r>
              <w:rPr>
                <w:lang w:val="en-US"/>
              </w:rPr>
              <w:t>-</w:t>
            </w:r>
          </w:p>
        </w:tc>
        <w:tc>
          <w:tcPr>
            <w:tcW w:w="2925" w:type="dxa"/>
          </w:tcPr>
          <w:p w14:paraId="2000CE22" w14:textId="77777777" w:rsidR="004F2224" w:rsidRPr="004F2224" w:rsidRDefault="004F2224">
            <w:pPr>
              <w:rPr>
                <w:lang w:val="en-US"/>
              </w:rPr>
            </w:pPr>
            <w:r w:rsidRPr="004F2224">
              <w:rPr>
                <w:lang w:val="en-US"/>
              </w:rPr>
              <w:t>RFA1, POL12, RFC5, POL30, POL3, CDC9, PRI1, POL31, POL32, PRI2, RAD27, RNH201, POL1, RFC3, RFA2, RFC4, DPB2</w:t>
            </w:r>
          </w:p>
        </w:tc>
      </w:tr>
      <w:tr w:rsidR="004F2224" w:rsidRPr="007F604F" w14:paraId="3F71A989" w14:textId="77777777" w:rsidTr="00B06138">
        <w:tc>
          <w:tcPr>
            <w:tcW w:w="2254" w:type="dxa"/>
          </w:tcPr>
          <w:p w14:paraId="04231E27" w14:textId="77777777" w:rsidR="004F2224" w:rsidRPr="00B06138" w:rsidRDefault="004F2224">
            <w:r w:rsidRPr="002F3EE3">
              <w:t xml:space="preserve">Purine </w:t>
            </w:r>
            <w:proofErr w:type="spellStart"/>
            <w:r w:rsidRPr="002F3EE3">
              <w:t>metabolism</w:t>
            </w:r>
            <w:proofErr w:type="spellEnd"/>
          </w:p>
        </w:tc>
        <w:tc>
          <w:tcPr>
            <w:tcW w:w="860" w:type="dxa"/>
          </w:tcPr>
          <w:p w14:paraId="52485F10" w14:textId="77777777" w:rsidR="004F2224" w:rsidRPr="00262F2A" w:rsidRDefault="004F2224">
            <w:pPr>
              <w:rPr>
                <w:lang w:val="en-US"/>
              </w:rPr>
            </w:pPr>
            <w:r>
              <w:rPr>
                <w:lang w:val="en-US"/>
              </w:rPr>
              <w:t>17</w:t>
            </w:r>
          </w:p>
        </w:tc>
        <w:tc>
          <w:tcPr>
            <w:tcW w:w="2977" w:type="dxa"/>
          </w:tcPr>
          <w:p w14:paraId="3D73B8B0" w14:textId="77777777" w:rsidR="004F2224" w:rsidRDefault="004F2224">
            <w:r w:rsidRPr="004728D4">
              <w:t>GUD1, PDE1, PGM2, PYK2</w:t>
            </w:r>
          </w:p>
        </w:tc>
        <w:tc>
          <w:tcPr>
            <w:tcW w:w="2925" w:type="dxa"/>
          </w:tcPr>
          <w:p w14:paraId="1B81038B" w14:textId="77777777" w:rsidR="004F2224" w:rsidRDefault="004F2224">
            <w:r w:rsidRPr="004728D4">
              <w:t>PRS4, APA1, FAP7, RNR1, ADK2, IMD2, RNR2, HAM1, IMD3, APT1, IMD4, GUA1, AAH1</w:t>
            </w:r>
          </w:p>
        </w:tc>
      </w:tr>
      <w:tr w:rsidR="004F2224" w14:paraId="7CE0B469" w14:textId="77777777" w:rsidTr="00B06138">
        <w:tc>
          <w:tcPr>
            <w:tcW w:w="2254" w:type="dxa"/>
          </w:tcPr>
          <w:p w14:paraId="0681D5E6" w14:textId="77777777" w:rsidR="004F2224" w:rsidRPr="002F3EE3" w:rsidRDefault="004F2224">
            <w:proofErr w:type="spellStart"/>
            <w:r w:rsidRPr="002F3EE3">
              <w:t>Pyruvate</w:t>
            </w:r>
            <w:proofErr w:type="spellEnd"/>
            <w:r w:rsidRPr="002F3EE3">
              <w:t xml:space="preserve"> </w:t>
            </w:r>
            <w:proofErr w:type="spellStart"/>
            <w:r w:rsidRPr="002F3EE3">
              <w:t>metabolism</w:t>
            </w:r>
            <w:proofErr w:type="spellEnd"/>
          </w:p>
        </w:tc>
        <w:tc>
          <w:tcPr>
            <w:tcW w:w="860" w:type="dxa"/>
          </w:tcPr>
          <w:p w14:paraId="3DF785F6" w14:textId="77777777" w:rsidR="004F2224" w:rsidRDefault="004F2224" w:rsidP="00262F2A">
            <w:pPr>
              <w:rPr>
                <w:rFonts w:ascii="Calibri" w:hAnsi="Calibri" w:cs="Calibri"/>
                <w:color w:val="000000"/>
              </w:rPr>
            </w:pPr>
            <w:r>
              <w:rPr>
                <w:rFonts w:ascii="Calibri" w:hAnsi="Calibri" w:cs="Calibri"/>
                <w:color w:val="000000"/>
              </w:rPr>
              <w:t>13</w:t>
            </w:r>
          </w:p>
          <w:p w14:paraId="5BDB0B0D" w14:textId="77777777" w:rsidR="004F2224" w:rsidRDefault="004F2224"/>
        </w:tc>
        <w:tc>
          <w:tcPr>
            <w:tcW w:w="2977" w:type="dxa"/>
          </w:tcPr>
          <w:p w14:paraId="7D43E602" w14:textId="77777777" w:rsidR="004F2224" w:rsidRPr="004F2224" w:rsidRDefault="004F2224">
            <w:pPr>
              <w:rPr>
                <w:lang w:val="en-US"/>
              </w:rPr>
            </w:pPr>
            <w:r w:rsidRPr="004F2224">
              <w:rPr>
                <w:lang w:val="en-US"/>
              </w:rPr>
              <w:t>ACS1, LYS20, DLD3, ALD3, ALD2, PYK2, ALD4, HSP33, HSP32</w:t>
            </w:r>
          </w:p>
        </w:tc>
        <w:tc>
          <w:tcPr>
            <w:tcW w:w="2925" w:type="dxa"/>
          </w:tcPr>
          <w:p w14:paraId="30DBD755" w14:textId="77777777" w:rsidR="004F2224" w:rsidRDefault="004F2224">
            <w:r w:rsidRPr="004728D4">
              <w:t>DLD2, PCK1, ACS2, LEU9</w:t>
            </w:r>
          </w:p>
        </w:tc>
      </w:tr>
      <w:tr w:rsidR="004F2224" w14:paraId="1B7B6B4C" w14:textId="77777777" w:rsidTr="00B06138">
        <w:tc>
          <w:tcPr>
            <w:tcW w:w="2254" w:type="dxa"/>
          </w:tcPr>
          <w:p w14:paraId="53762CDC" w14:textId="77777777" w:rsidR="004F2224" w:rsidRPr="002F3EE3" w:rsidRDefault="004F2224">
            <w:r w:rsidRPr="002F3EE3">
              <w:t xml:space="preserve">Mismatch </w:t>
            </w:r>
            <w:proofErr w:type="spellStart"/>
            <w:r w:rsidRPr="002F3EE3">
              <w:t>repair</w:t>
            </w:r>
            <w:proofErr w:type="spellEnd"/>
          </w:p>
        </w:tc>
        <w:tc>
          <w:tcPr>
            <w:tcW w:w="860" w:type="dxa"/>
          </w:tcPr>
          <w:p w14:paraId="77A3D28E" w14:textId="77777777" w:rsidR="004F2224" w:rsidRDefault="004F2224" w:rsidP="00262F2A">
            <w:pPr>
              <w:rPr>
                <w:rFonts w:ascii="Calibri" w:hAnsi="Calibri" w:cs="Calibri"/>
                <w:color w:val="000000"/>
              </w:rPr>
            </w:pPr>
            <w:r>
              <w:rPr>
                <w:rFonts w:ascii="Calibri" w:hAnsi="Calibri" w:cs="Calibri"/>
                <w:color w:val="000000"/>
              </w:rPr>
              <w:t>13</w:t>
            </w:r>
          </w:p>
          <w:p w14:paraId="62D17B3C" w14:textId="77777777" w:rsidR="004F2224" w:rsidRDefault="004F2224"/>
        </w:tc>
        <w:tc>
          <w:tcPr>
            <w:tcW w:w="2977" w:type="dxa"/>
          </w:tcPr>
          <w:p w14:paraId="19718B22" w14:textId="77777777" w:rsidR="004F2224" w:rsidRPr="004728D4" w:rsidRDefault="004F2224">
            <w:pPr>
              <w:rPr>
                <w:lang w:val="en-US"/>
              </w:rPr>
            </w:pPr>
            <w:r>
              <w:rPr>
                <w:lang w:val="en-US"/>
              </w:rPr>
              <w:t>-</w:t>
            </w:r>
          </w:p>
        </w:tc>
        <w:tc>
          <w:tcPr>
            <w:tcW w:w="2925" w:type="dxa"/>
          </w:tcPr>
          <w:p w14:paraId="33F36521" w14:textId="77777777" w:rsidR="004F2224" w:rsidRPr="004F2224" w:rsidRDefault="004F2224">
            <w:pPr>
              <w:rPr>
                <w:lang w:val="en-US"/>
              </w:rPr>
            </w:pPr>
            <w:r w:rsidRPr="004F2224">
              <w:rPr>
                <w:lang w:val="en-US"/>
              </w:rPr>
              <w:t>RFA1, RFC5, POL30, POL3, CDC9, MSH6, POL31, POL32, PMS1, RFC3, RFA2, MSH2, RFC4</w:t>
            </w:r>
          </w:p>
        </w:tc>
      </w:tr>
      <w:tr w:rsidR="004F2224" w:rsidRPr="007F604F" w14:paraId="797AD4CD" w14:textId="77777777" w:rsidTr="00B06138">
        <w:tc>
          <w:tcPr>
            <w:tcW w:w="2254" w:type="dxa"/>
          </w:tcPr>
          <w:p w14:paraId="68D000F3" w14:textId="77777777" w:rsidR="004F2224" w:rsidRPr="002F3EE3" w:rsidRDefault="004F2224">
            <w:proofErr w:type="spellStart"/>
            <w:r w:rsidRPr="002F3EE3">
              <w:t>Citrate</w:t>
            </w:r>
            <w:proofErr w:type="spellEnd"/>
            <w:r w:rsidRPr="002F3EE3">
              <w:t xml:space="preserve"> </w:t>
            </w:r>
            <w:proofErr w:type="spellStart"/>
            <w:r w:rsidRPr="002F3EE3">
              <w:t>cycle</w:t>
            </w:r>
            <w:proofErr w:type="spellEnd"/>
            <w:r w:rsidRPr="002F3EE3">
              <w:t xml:space="preserve"> (TCA </w:t>
            </w:r>
            <w:proofErr w:type="spellStart"/>
            <w:r w:rsidRPr="002F3EE3">
              <w:t>cycle</w:t>
            </w:r>
            <w:proofErr w:type="spellEnd"/>
            <w:r w:rsidRPr="002F3EE3">
              <w:t>)</w:t>
            </w:r>
          </w:p>
        </w:tc>
        <w:tc>
          <w:tcPr>
            <w:tcW w:w="860" w:type="dxa"/>
          </w:tcPr>
          <w:p w14:paraId="0EC148EA" w14:textId="77777777" w:rsidR="004F2224" w:rsidRDefault="004F2224" w:rsidP="00262F2A">
            <w:pPr>
              <w:rPr>
                <w:rFonts w:ascii="Calibri" w:hAnsi="Calibri" w:cs="Calibri"/>
                <w:color w:val="000000"/>
              </w:rPr>
            </w:pPr>
            <w:r>
              <w:rPr>
                <w:rFonts w:ascii="Calibri" w:hAnsi="Calibri" w:cs="Calibri"/>
                <w:color w:val="000000"/>
              </w:rPr>
              <w:t>11</w:t>
            </w:r>
          </w:p>
          <w:p w14:paraId="2816FC4C" w14:textId="77777777" w:rsidR="004F2224" w:rsidRDefault="004F2224"/>
        </w:tc>
        <w:tc>
          <w:tcPr>
            <w:tcW w:w="2977" w:type="dxa"/>
          </w:tcPr>
          <w:p w14:paraId="14D9A76F" w14:textId="77777777" w:rsidR="004F2224" w:rsidRDefault="004F2224">
            <w:r w:rsidRPr="004728D4">
              <w:t>CIT2, IDP3, CIT3</w:t>
            </w:r>
          </w:p>
        </w:tc>
        <w:tc>
          <w:tcPr>
            <w:tcW w:w="2925" w:type="dxa"/>
          </w:tcPr>
          <w:p w14:paraId="7CF90D29" w14:textId="77777777" w:rsidR="004F2224" w:rsidRDefault="004F2224">
            <w:r w:rsidRPr="004728D4">
              <w:t>KGD2, SDH3, SDH1, PCK1, SDH2, ACO1, IDH1, IDH2</w:t>
            </w:r>
          </w:p>
        </w:tc>
      </w:tr>
      <w:tr w:rsidR="004F2224" w14:paraId="43DF1737" w14:textId="77777777" w:rsidTr="00B06138">
        <w:tc>
          <w:tcPr>
            <w:tcW w:w="2254" w:type="dxa"/>
          </w:tcPr>
          <w:p w14:paraId="7842C6DD" w14:textId="77777777" w:rsidR="004F2224" w:rsidRPr="002B3AB9" w:rsidRDefault="004F2224">
            <w:pPr>
              <w:rPr>
                <w:lang w:val="en-US"/>
              </w:rPr>
            </w:pPr>
            <w:r>
              <w:rPr>
                <w:lang w:val="en-US"/>
              </w:rPr>
              <w:t>Base excision repair</w:t>
            </w:r>
          </w:p>
        </w:tc>
        <w:tc>
          <w:tcPr>
            <w:tcW w:w="860" w:type="dxa"/>
          </w:tcPr>
          <w:p w14:paraId="34D3F902" w14:textId="77777777" w:rsidR="004F2224" w:rsidRPr="002B3AB9" w:rsidRDefault="004F2224" w:rsidP="00262F2A">
            <w:pPr>
              <w:rPr>
                <w:rFonts w:ascii="Calibri" w:hAnsi="Calibri" w:cs="Calibri"/>
                <w:color w:val="000000"/>
                <w:lang w:val="en-US"/>
              </w:rPr>
            </w:pPr>
            <w:r>
              <w:rPr>
                <w:rFonts w:ascii="Calibri" w:hAnsi="Calibri" w:cs="Calibri"/>
                <w:color w:val="000000"/>
                <w:lang w:val="en-US"/>
              </w:rPr>
              <w:t>9</w:t>
            </w:r>
          </w:p>
        </w:tc>
        <w:tc>
          <w:tcPr>
            <w:tcW w:w="2977" w:type="dxa"/>
          </w:tcPr>
          <w:p w14:paraId="43048AC8" w14:textId="77777777" w:rsidR="004F2224" w:rsidRPr="002B3AB9" w:rsidRDefault="004F2224">
            <w:pPr>
              <w:rPr>
                <w:lang w:val="en-US"/>
              </w:rPr>
            </w:pPr>
            <w:r>
              <w:rPr>
                <w:lang w:val="en-US"/>
              </w:rPr>
              <w:t>-</w:t>
            </w:r>
          </w:p>
        </w:tc>
        <w:tc>
          <w:tcPr>
            <w:tcW w:w="2925" w:type="dxa"/>
          </w:tcPr>
          <w:p w14:paraId="204CF852" w14:textId="77777777" w:rsidR="004F2224" w:rsidRPr="004728D4" w:rsidRDefault="004F2224">
            <w:r w:rsidRPr="002B3AB9">
              <w:t>POL30, POL3, CDC9, POL31, POL32, RAD27, UNG1, OGG1, DPB2</w:t>
            </w:r>
          </w:p>
        </w:tc>
      </w:tr>
      <w:tr w:rsidR="004F2224" w14:paraId="4A55BFC6" w14:textId="77777777" w:rsidTr="00B06138">
        <w:tc>
          <w:tcPr>
            <w:tcW w:w="2254" w:type="dxa"/>
          </w:tcPr>
          <w:p w14:paraId="608A6003" w14:textId="77777777" w:rsidR="004F2224" w:rsidRDefault="004F2224">
            <w:pPr>
              <w:rPr>
                <w:lang w:val="en-US"/>
              </w:rPr>
            </w:pPr>
            <w:r>
              <w:rPr>
                <w:lang w:val="en-US"/>
              </w:rPr>
              <w:t>Homologous recombination</w:t>
            </w:r>
          </w:p>
        </w:tc>
        <w:tc>
          <w:tcPr>
            <w:tcW w:w="860" w:type="dxa"/>
          </w:tcPr>
          <w:p w14:paraId="3792346C" w14:textId="77777777" w:rsidR="004F2224" w:rsidRDefault="004F2224" w:rsidP="00262F2A">
            <w:pPr>
              <w:rPr>
                <w:rFonts w:ascii="Calibri" w:hAnsi="Calibri" w:cs="Calibri"/>
                <w:color w:val="000000"/>
                <w:lang w:val="en-US"/>
              </w:rPr>
            </w:pPr>
            <w:r>
              <w:rPr>
                <w:rFonts w:ascii="Calibri" w:hAnsi="Calibri" w:cs="Calibri"/>
                <w:color w:val="000000"/>
                <w:lang w:val="en-US"/>
              </w:rPr>
              <w:t>8</w:t>
            </w:r>
          </w:p>
        </w:tc>
        <w:tc>
          <w:tcPr>
            <w:tcW w:w="2977" w:type="dxa"/>
          </w:tcPr>
          <w:p w14:paraId="7EF1EB32" w14:textId="77777777" w:rsidR="004F2224" w:rsidRPr="002B3AB9" w:rsidRDefault="004F2224" w:rsidP="002B3AB9">
            <w:r w:rsidRPr="002B3AB9">
              <w:t>RAD50</w:t>
            </w:r>
          </w:p>
          <w:p w14:paraId="21D8E6CF" w14:textId="77777777" w:rsidR="004F2224" w:rsidRDefault="004F2224">
            <w:pPr>
              <w:rPr>
                <w:lang w:val="en-US"/>
              </w:rPr>
            </w:pPr>
          </w:p>
        </w:tc>
        <w:tc>
          <w:tcPr>
            <w:tcW w:w="2925" w:type="dxa"/>
          </w:tcPr>
          <w:p w14:paraId="191B609A" w14:textId="77777777" w:rsidR="004F2224" w:rsidRPr="002B3AB9" w:rsidRDefault="004F2224">
            <w:r w:rsidRPr="002B3AB9">
              <w:t>RFA1, RDH54, POL3, RAD51, POL31, POL32, RFA2</w:t>
            </w:r>
          </w:p>
        </w:tc>
      </w:tr>
      <w:tr w:rsidR="004F2224" w14:paraId="36D91487" w14:textId="77777777" w:rsidTr="00B06138">
        <w:tc>
          <w:tcPr>
            <w:tcW w:w="2254" w:type="dxa"/>
          </w:tcPr>
          <w:p w14:paraId="56AAE1E0" w14:textId="77777777" w:rsidR="004F2224" w:rsidRDefault="004F2224">
            <w:pPr>
              <w:rPr>
                <w:lang w:val="en-US"/>
              </w:rPr>
            </w:pPr>
            <w:r>
              <w:rPr>
                <w:lang w:val="en-US"/>
              </w:rPr>
              <w:t>Nucleotide excision repair</w:t>
            </w:r>
          </w:p>
        </w:tc>
        <w:tc>
          <w:tcPr>
            <w:tcW w:w="860" w:type="dxa"/>
          </w:tcPr>
          <w:p w14:paraId="74A82B22" w14:textId="77777777" w:rsidR="004F2224" w:rsidRDefault="004F2224" w:rsidP="00262F2A">
            <w:pPr>
              <w:rPr>
                <w:rFonts w:ascii="Calibri" w:hAnsi="Calibri" w:cs="Calibri"/>
                <w:color w:val="000000"/>
                <w:lang w:val="en-US"/>
              </w:rPr>
            </w:pPr>
            <w:r>
              <w:rPr>
                <w:rFonts w:ascii="Calibri" w:hAnsi="Calibri" w:cs="Calibri"/>
                <w:color w:val="000000"/>
                <w:lang w:val="en-US"/>
              </w:rPr>
              <w:t>12</w:t>
            </w:r>
          </w:p>
        </w:tc>
        <w:tc>
          <w:tcPr>
            <w:tcW w:w="2977" w:type="dxa"/>
          </w:tcPr>
          <w:p w14:paraId="728BB29B" w14:textId="77777777" w:rsidR="004F2224" w:rsidRPr="002B3AB9" w:rsidRDefault="004F2224" w:rsidP="002B3AB9">
            <w:pPr>
              <w:rPr>
                <w:lang w:val="en-US"/>
              </w:rPr>
            </w:pPr>
            <w:r>
              <w:rPr>
                <w:lang w:val="en-US"/>
              </w:rPr>
              <w:t>RAD28</w:t>
            </w:r>
          </w:p>
        </w:tc>
        <w:tc>
          <w:tcPr>
            <w:tcW w:w="2925" w:type="dxa"/>
          </w:tcPr>
          <w:p w14:paraId="744FDCDE" w14:textId="77777777" w:rsidR="004F2224" w:rsidRPr="004F2224" w:rsidRDefault="004F2224">
            <w:pPr>
              <w:rPr>
                <w:lang w:val="en-US"/>
              </w:rPr>
            </w:pPr>
            <w:r w:rsidRPr="004F2224">
              <w:rPr>
                <w:lang w:val="en-US"/>
              </w:rPr>
              <w:t>RFA1, RFC5, POL30, POL3, CDC9, POL31, POL32, RFC3, RFA2, RFC4, DPB2</w:t>
            </w:r>
          </w:p>
        </w:tc>
      </w:tr>
      <w:tr w:rsidR="004F2224" w14:paraId="521C538F" w14:textId="77777777" w:rsidTr="00B06138">
        <w:tc>
          <w:tcPr>
            <w:tcW w:w="2254" w:type="dxa"/>
          </w:tcPr>
          <w:p w14:paraId="40F55DD4" w14:textId="77777777" w:rsidR="004F2224" w:rsidRDefault="004F2224">
            <w:pPr>
              <w:rPr>
                <w:lang w:val="en-US"/>
              </w:rPr>
            </w:pPr>
            <w:r>
              <w:rPr>
                <w:lang w:val="en-US"/>
              </w:rPr>
              <w:t>Pentose phosphate pathway</w:t>
            </w:r>
          </w:p>
        </w:tc>
        <w:tc>
          <w:tcPr>
            <w:tcW w:w="860" w:type="dxa"/>
          </w:tcPr>
          <w:p w14:paraId="201D5F3D" w14:textId="77777777" w:rsidR="004F2224" w:rsidRDefault="004F2224" w:rsidP="00262F2A">
            <w:pPr>
              <w:rPr>
                <w:rFonts w:ascii="Calibri" w:hAnsi="Calibri" w:cs="Calibri"/>
                <w:color w:val="000000"/>
                <w:lang w:val="en-US"/>
              </w:rPr>
            </w:pPr>
            <w:r>
              <w:rPr>
                <w:rFonts w:ascii="Calibri" w:hAnsi="Calibri" w:cs="Calibri"/>
                <w:color w:val="000000"/>
                <w:lang w:val="en-US"/>
              </w:rPr>
              <w:t>8</w:t>
            </w:r>
          </w:p>
        </w:tc>
        <w:tc>
          <w:tcPr>
            <w:tcW w:w="2977" w:type="dxa"/>
          </w:tcPr>
          <w:p w14:paraId="21DB7D1B" w14:textId="77777777" w:rsidR="004F2224" w:rsidRDefault="004F2224" w:rsidP="002B3AB9">
            <w:pPr>
              <w:rPr>
                <w:lang w:val="en-US"/>
              </w:rPr>
            </w:pPr>
            <w:r w:rsidRPr="002B3AB9">
              <w:rPr>
                <w:lang w:val="en-US"/>
              </w:rPr>
              <w:t>TKL2, NQM1, SOL4, GND2, FBA1, PGM2</w:t>
            </w:r>
          </w:p>
        </w:tc>
        <w:tc>
          <w:tcPr>
            <w:tcW w:w="2925" w:type="dxa"/>
          </w:tcPr>
          <w:p w14:paraId="7C5B3565" w14:textId="77777777" w:rsidR="004F2224" w:rsidRPr="002B3AB9" w:rsidRDefault="004F2224">
            <w:r w:rsidRPr="002B3AB9">
              <w:t>PRS4, RPE1</w:t>
            </w:r>
          </w:p>
        </w:tc>
      </w:tr>
      <w:tr w:rsidR="004F2224" w14:paraId="253279C7" w14:textId="77777777" w:rsidTr="00B06138">
        <w:tc>
          <w:tcPr>
            <w:tcW w:w="2254" w:type="dxa"/>
          </w:tcPr>
          <w:p w14:paraId="23BE7622" w14:textId="77777777" w:rsidR="004F2224" w:rsidRDefault="004F2224">
            <w:pPr>
              <w:rPr>
                <w:lang w:val="en-US"/>
              </w:rPr>
            </w:pPr>
            <w:r>
              <w:rPr>
                <w:lang w:val="en-US"/>
              </w:rPr>
              <w:t>Peroxisome</w:t>
            </w:r>
          </w:p>
        </w:tc>
        <w:tc>
          <w:tcPr>
            <w:tcW w:w="860" w:type="dxa"/>
          </w:tcPr>
          <w:p w14:paraId="5CC6C061" w14:textId="77777777" w:rsidR="004F2224" w:rsidRDefault="004F2224" w:rsidP="00262F2A">
            <w:pPr>
              <w:rPr>
                <w:rFonts w:ascii="Calibri" w:hAnsi="Calibri" w:cs="Calibri"/>
                <w:color w:val="000000"/>
                <w:lang w:val="en-US"/>
              </w:rPr>
            </w:pPr>
            <w:r>
              <w:rPr>
                <w:rFonts w:ascii="Calibri" w:hAnsi="Calibri" w:cs="Calibri"/>
                <w:color w:val="000000"/>
                <w:lang w:val="en-US"/>
              </w:rPr>
              <w:t>11</w:t>
            </w:r>
          </w:p>
        </w:tc>
        <w:tc>
          <w:tcPr>
            <w:tcW w:w="2977" w:type="dxa"/>
          </w:tcPr>
          <w:p w14:paraId="4FCF34C2" w14:textId="77777777" w:rsidR="004F2224" w:rsidRDefault="004F2224" w:rsidP="002B3AB9">
            <w:pPr>
              <w:rPr>
                <w:lang w:val="en-US"/>
              </w:rPr>
            </w:pPr>
            <w:r w:rsidRPr="008E6564">
              <w:rPr>
                <w:lang w:val="en-US"/>
              </w:rPr>
              <w:t>YAT1, FAA2, YAT2, CTT1, FAA3, PEX2, PXA2, SYM1, CAT2, IDP3</w:t>
            </w:r>
          </w:p>
        </w:tc>
        <w:tc>
          <w:tcPr>
            <w:tcW w:w="2925" w:type="dxa"/>
          </w:tcPr>
          <w:p w14:paraId="5B27E96A" w14:textId="77777777" w:rsidR="004F2224" w:rsidRPr="008E6564" w:rsidRDefault="004F2224">
            <w:pPr>
              <w:rPr>
                <w:lang w:val="en-US"/>
              </w:rPr>
            </w:pPr>
            <w:r>
              <w:rPr>
                <w:lang w:val="en-US"/>
              </w:rPr>
              <w:t>RSM26</w:t>
            </w:r>
          </w:p>
        </w:tc>
      </w:tr>
      <w:tr w:rsidR="004F2224" w:rsidRPr="007F604F" w14:paraId="4234A3E6" w14:textId="77777777" w:rsidTr="00B06138">
        <w:tc>
          <w:tcPr>
            <w:tcW w:w="2254" w:type="dxa"/>
          </w:tcPr>
          <w:p w14:paraId="1C767AD9" w14:textId="77777777" w:rsidR="004F2224" w:rsidRDefault="004F2224">
            <w:pPr>
              <w:rPr>
                <w:lang w:val="en-US"/>
              </w:rPr>
            </w:pPr>
            <w:r>
              <w:rPr>
                <w:lang w:val="en-US"/>
              </w:rPr>
              <w:t>Pyrimidine metabolism</w:t>
            </w:r>
          </w:p>
        </w:tc>
        <w:tc>
          <w:tcPr>
            <w:tcW w:w="860" w:type="dxa"/>
          </w:tcPr>
          <w:p w14:paraId="0853891D" w14:textId="77777777" w:rsidR="004F2224" w:rsidRDefault="004F2224" w:rsidP="00262F2A">
            <w:pPr>
              <w:rPr>
                <w:rFonts w:ascii="Calibri" w:hAnsi="Calibri" w:cs="Calibri"/>
                <w:color w:val="000000"/>
                <w:lang w:val="en-US"/>
              </w:rPr>
            </w:pPr>
            <w:r>
              <w:rPr>
                <w:rFonts w:ascii="Calibri" w:hAnsi="Calibri" w:cs="Calibri"/>
                <w:color w:val="000000"/>
                <w:lang w:val="en-US"/>
              </w:rPr>
              <w:t>10</w:t>
            </w:r>
          </w:p>
        </w:tc>
        <w:tc>
          <w:tcPr>
            <w:tcW w:w="2977" w:type="dxa"/>
          </w:tcPr>
          <w:p w14:paraId="07BFCC72" w14:textId="77777777" w:rsidR="004F2224" w:rsidRPr="008E6564" w:rsidRDefault="004F2224" w:rsidP="002B3AB9">
            <w:pPr>
              <w:rPr>
                <w:lang w:val="en-US"/>
              </w:rPr>
            </w:pPr>
            <w:r w:rsidRPr="008E6564">
              <w:rPr>
                <w:lang w:val="en-US"/>
              </w:rPr>
              <w:t>URA10, CPA1</w:t>
            </w:r>
          </w:p>
        </w:tc>
        <w:tc>
          <w:tcPr>
            <w:tcW w:w="2925" w:type="dxa"/>
          </w:tcPr>
          <w:p w14:paraId="6412D9A6" w14:textId="77777777" w:rsidR="004F2224" w:rsidRPr="00EF3C5E" w:rsidRDefault="004F2224">
            <w:r w:rsidRPr="00EF3C5E">
              <w:t>URA7, DUT1, RNR1, FUR1, DCD1, RNR2, URA1, CDC21</w:t>
            </w:r>
          </w:p>
        </w:tc>
      </w:tr>
      <w:tr w:rsidR="004F2224" w14:paraId="247FBF12" w14:textId="77777777" w:rsidTr="00B06138">
        <w:tc>
          <w:tcPr>
            <w:tcW w:w="2254" w:type="dxa"/>
          </w:tcPr>
          <w:p w14:paraId="78808C49" w14:textId="77777777" w:rsidR="004F2224" w:rsidRDefault="004F2224">
            <w:pPr>
              <w:rPr>
                <w:lang w:val="en-US"/>
              </w:rPr>
            </w:pPr>
            <w:r>
              <w:rPr>
                <w:lang w:val="en-US"/>
              </w:rPr>
              <w:t xml:space="preserve">RNA </w:t>
            </w:r>
            <w:proofErr w:type="spellStart"/>
            <w:r>
              <w:rPr>
                <w:lang w:val="en-US"/>
              </w:rPr>
              <w:t>degadation</w:t>
            </w:r>
            <w:proofErr w:type="spellEnd"/>
          </w:p>
        </w:tc>
        <w:tc>
          <w:tcPr>
            <w:tcW w:w="860" w:type="dxa"/>
          </w:tcPr>
          <w:p w14:paraId="7692D5A3" w14:textId="77777777" w:rsidR="004F2224" w:rsidRDefault="004F2224" w:rsidP="00262F2A">
            <w:pPr>
              <w:rPr>
                <w:rFonts w:ascii="Calibri" w:hAnsi="Calibri" w:cs="Calibri"/>
                <w:color w:val="000000"/>
                <w:lang w:val="en-US"/>
              </w:rPr>
            </w:pPr>
            <w:r>
              <w:rPr>
                <w:rFonts w:ascii="Calibri" w:hAnsi="Calibri" w:cs="Calibri"/>
                <w:color w:val="000000"/>
                <w:lang w:val="en-US"/>
              </w:rPr>
              <w:t>10</w:t>
            </w:r>
          </w:p>
        </w:tc>
        <w:tc>
          <w:tcPr>
            <w:tcW w:w="2977" w:type="dxa"/>
          </w:tcPr>
          <w:p w14:paraId="7A1AB7A3" w14:textId="77777777" w:rsidR="004F2224" w:rsidRPr="00EF3C5E" w:rsidRDefault="004F2224" w:rsidP="002B3AB9">
            <w:r w:rsidRPr="00EF3C5E">
              <w:t>ENO1, ENO2, DCS1, ERR3, ERR2</w:t>
            </w:r>
          </w:p>
        </w:tc>
        <w:tc>
          <w:tcPr>
            <w:tcW w:w="2925" w:type="dxa"/>
          </w:tcPr>
          <w:p w14:paraId="6E03D7EE" w14:textId="77777777" w:rsidR="004F2224" w:rsidRPr="008E6564" w:rsidRDefault="004F2224">
            <w:pPr>
              <w:rPr>
                <w:lang w:val="en-US"/>
              </w:rPr>
            </w:pPr>
            <w:r w:rsidRPr="005658E6">
              <w:rPr>
                <w:lang w:val="en-US"/>
              </w:rPr>
              <w:t>PAT1, MTR3, MTR4, TRF5, DCP1</w:t>
            </w:r>
          </w:p>
        </w:tc>
      </w:tr>
    </w:tbl>
    <w:p w14:paraId="53D1E7E2" w14:textId="77777777" w:rsidR="004F2224" w:rsidRDefault="004F2224"/>
    <w:p w14:paraId="2D614EB2" w14:textId="49C7F173" w:rsidR="00C05C3C" w:rsidRDefault="00C05C3C">
      <w:pPr>
        <w:jc w:val="both"/>
        <w:rPr>
          <w:rFonts w:ascii="Times New Roman" w:eastAsia="Times New Roman" w:hAnsi="Times New Roman" w:cs="Times New Roman"/>
          <w:b/>
          <w:sz w:val="24"/>
          <w:szCs w:val="24"/>
        </w:rPr>
      </w:pPr>
    </w:p>
    <w:sectPr w:rsidR="00C05C3C">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CD8"/>
    <w:rsid w:val="00090295"/>
    <w:rsid w:val="001B5EB6"/>
    <w:rsid w:val="00204B39"/>
    <w:rsid w:val="00286172"/>
    <w:rsid w:val="00365129"/>
    <w:rsid w:val="0044382B"/>
    <w:rsid w:val="00460888"/>
    <w:rsid w:val="004C392E"/>
    <w:rsid w:val="004F2224"/>
    <w:rsid w:val="00547CC1"/>
    <w:rsid w:val="005A5087"/>
    <w:rsid w:val="00635C78"/>
    <w:rsid w:val="00796CD8"/>
    <w:rsid w:val="007F604F"/>
    <w:rsid w:val="008011EE"/>
    <w:rsid w:val="00866364"/>
    <w:rsid w:val="0092136E"/>
    <w:rsid w:val="00931469"/>
    <w:rsid w:val="00A627EE"/>
    <w:rsid w:val="00C05C3C"/>
    <w:rsid w:val="00C85668"/>
    <w:rsid w:val="00CC576B"/>
    <w:rsid w:val="00D00C0C"/>
    <w:rsid w:val="00E2675D"/>
    <w:rsid w:val="00E26983"/>
    <w:rsid w:val="00FD1EBD"/>
    <w:rsid w:val="00FE2D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3369"/>
  <w15:docId w15:val="{385B977E-0346-47CB-9AEF-C5C84A05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1D5D"/>
  </w:style>
  <w:style w:type="paragraph" w:styleId="Titolo1">
    <w:name w:val="heading 1"/>
    <w:basedOn w:val="Normale"/>
    <w:next w:val="Normale"/>
    <w:pPr>
      <w:keepNext/>
      <w:keepLines/>
      <w:spacing w:before="480" w:after="120"/>
      <w:outlineLvl w:val="0"/>
    </w:pPr>
    <w:rPr>
      <w:b/>
      <w:sz w:val="48"/>
      <w:szCs w:val="48"/>
    </w:rPr>
  </w:style>
  <w:style w:type="paragraph" w:styleId="Titolo2">
    <w:name w:val="heading 2"/>
    <w:basedOn w:val="Normale"/>
    <w:next w:val="Normale"/>
    <w:pPr>
      <w:keepNext/>
      <w:keepLines/>
      <w:spacing w:before="360" w:after="80"/>
      <w:outlineLvl w:val="1"/>
    </w:pPr>
    <w:rPr>
      <w:b/>
      <w:sz w:val="36"/>
      <w:szCs w:val="36"/>
    </w:rPr>
  </w:style>
  <w:style w:type="paragraph" w:styleId="Titolo3">
    <w:name w:val="heading 3"/>
    <w:basedOn w:val="Normale"/>
    <w:next w:val="Normale"/>
    <w:pPr>
      <w:keepNext/>
      <w:keepLines/>
      <w:spacing w:before="280" w:after="80"/>
      <w:outlineLvl w:val="2"/>
    </w:pPr>
    <w:rPr>
      <w:b/>
      <w:sz w:val="28"/>
      <w:szCs w:val="28"/>
    </w:rPr>
  </w:style>
  <w:style w:type="paragraph" w:styleId="Titolo4">
    <w:name w:val="heading 4"/>
    <w:basedOn w:val="Normale"/>
    <w:next w:val="Normale"/>
    <w:pPr>
      <w:keepNext/>
      <w:keepLines/>
      <w:spacing w:before="240" w:after="40"/>
      <w:outlineLvl w:val="3"/>
    </w:pPr>
    <w:rPr>
      <w:b/>
      <w:sz w:val="24"/>
      <w:szCs w:val="24"/>
    </w:rPr>
  </w:style>
  <w:style w:type="paragraph" w:styleId="Titolo5">
    <w:name w:val="heading 5"/>
    <w:basedOn w:val="Normale"/>
    <w:next w:val="Normale"/>
    <w:pPr>
      <w:keepNext/>
      <w:keepLines/>
      <w:spacing w:before="220" w:after="40"/>
      <w:outlineLvl w:val="4"/>
    </w:pPr>
    <w:rPr>
      <w:b/>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paragraph" w:styleId="Testofumetto">
    <w:name w:val="Balloon Text"/>
    <w:basedOn w:val="Normale"/>
    <w:link w:val="TestofumettoCarattere"/>
    <w:uiPriority w:val="99"/>
    <w:semiHidden/>
    <w:unhideWhenUsed/>
    <w:rsid w:val="009144D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144DC"/>
    <w:rPr>
      <w:rFonts w:ascii="Tahoma" w:hAnsi="Tahoma" w:cs="Tahoma"/>
      <w:sz w:val="16"/>
      <w:szCs w:val="16"/>
    </w:rPr>
  </w:style>
  <w:style w:type="paragraph" w:styleId="Bibliografia">
    <w:name w:val="Bibliography"/>
    <w:basedOn w:val="Normale"/>
    <w:next w:val="Normale"/>
    <w:uiPriority w:val="37"/>
    <w:unhideWhenUsed/>
    <w:rsid w:val="0051403F"/>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table" w:styleId="Grigliatabella">
    <w:name w:val="Table Grid"/>
    <w:basedOn w:val="Tabellanormale"/>
    <w:uiPriority w:val="39"/>
    <w:rsid w:val="004F2224"/>
    <w:pPr>
      <w:spacing w:after="0" w:line="240" w:lineRule="auto"/>
    </w:pPr>
    <w:rPr>
      <w:rFonts w:asciiTheme="minorHAnsi" w:eastAsiaTheme="minorHAnsi" w:hAnsiTheme="minorHAnsi" w:cstheme="minorBidi"/>
      <w:sz w:val="24"/>
      <w:szCs w:val="24"/>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TfBpCfdMDfEgjEcp3ORTDe2Uw==">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3158</Words>
  <Characters>18006</Characters>
  <Application>Microsoft Office Word</Application>
  <DocSecurity>0</DocSecurity>
  <Lines>150</Lines>
  <Paragraphs>42</Paragraphs>
  <ScaleCrop>false</ScaleCrop>
  <HeadingPairs>
    <vt:vector size="4" baseType="variant">
      <vt:variant>
        <vt:lpstr>Titolo</vt:lpstr>
      </vt:variant>
      <vt:variant>
        <vt:i4>1</vt:i4>
      </vt:variant>
      <vt:variant>
        <vt:lpstr>Intestazioni</vt:lpstr>
      </vt:variant>
      <vt:variant>
        <vt:i4>1</vt:i4>
      </vt:variant>
    </vt:vector>
  </HeadingPairs>
  <TitlesOfParts>
    <vt:vector size="2" baseType="lpstr">
      <vt:lpstr/>
      <vt:lpstr>        Preprocessing and analysis of RNA-seq data</vt:lpstr>
    </vt:vector>
  </TitlesOfParts>
  <Company/>
  <LinksUpToDate>false</LinksUpToDate>
  <CharactersWithSpaces>21122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Sergio Giannattasio</cp:lastModifiedBy>
  <cp:revision>24</cp:revision>
  <cp:lastPrinted>2022-03-16T11:53:00Z</cp:lastPrinted>
  <dcterms:created xsi:type="dcterms:W3CDTF">2021-09-20T08:14:00Z</dcterms:created>
  <dcterms:modified xsi:type="dcterms:W3CDTF">2022-03-23T09:11:00Z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id="3yLxCVYC"/&gt;&lt;style id="http://www.zotero.org/styles/cancers" hasBibliography="1" bibliographyStyleHasBeenSet="1"/&gt;&lt;prefs&gt;&lt;pref name="fieldType" value="Field"/&gt;&lt;/prefs&gt;&lt;/data&gt;</vt:lpwstr>
  </property>
</Properties>
</file>