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2C295F">
        <w:rPr>
          <w:rFonts w:ascii="Times New Roman" w:hAnsi="Times New Roman"/>
          <w:sz w:val="24"/>
          <w:szCs w:val="24"/>
        </w:rPr>
        <w:t>29</w:t>
      </w:r>
      <w:r w:rsidR="002C295F" w:rsidRPr="002C295F">
        <w:rPr>
          <w:rFonts w:ascii="Times New Roman" w:hAnsi="Times New Roman"/>
          <w:sz w:val="24"/>
          <w:szCs w:val="24"/>
          <w:vertAlign w:val="superscript"/>
        </w:rPr>
        <w:t>th</w:t>
      </w:r>
      <w:r w:rsidR="002C295F">
        <w:rPr>
          <w:rFonts w:ascii="Times New Roman" w:hAnsi="Times New Roman"/>
          <w:sz w:val="24"/>
          <w:szCs w:val="24"/>
        </w:rPr>
        <w:t xml:space="preserve"> </w:t>
      </w:r>
      <w:r w:rsidR="004C320C">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2C295F">
        <w:rPr>
          <w:rFonts w:ascii="Times New Roman" w:hAnsi="Times New Roman"/>
          <w:color w:val="000000"/>
          <w:sz w:val="24"/>
          <w:szCs w:val="24"/>
        </w:rPr>
        <w:t>Dec</w:t>
      </w:r>
      <w:r>
        <w:rPr>
          <w:rFonts w:ascii="Times New Roman" w:hAnsi="Times New Roman"/>
          <w:color w:val="000000"/>
          <w:sz w:val="24"/>
          <w:szCs w:val="24"/>
        </w:rPr>
        <w:t xml:space="preserve">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06425D">
        <w:rPr>
          <w:rFonts w:ascii="Times New Roman" w:hAnsi="Times New Roman"/>
          <w:b/>
          <w:bCs/>
          <w:w w:val="121"/>
        </w:rPr>
        <w:t xml:space="preserve">S.H. Systems, </w:t>
      </w:r>
      <w:proofErr w:type="spellStart"/>
      <w:r w:rsidR="0006425D">
        <w:rPr>
          <w:rFonts w:ascii="Times New Roman" w:hAnsi="Times New Roman"/>
          <w:b/>
          <w:bCs/>
          <w:w w:val="121"/>
        </w:rPr>
        <w:t>Raichur</w:t>
      </w:r>
      <w:proofErr w:type="spellEnd"/>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47466" w:rsidRPr="00DD64AB" w:rsidRDefault="00196B70" w:rsidP="00005B01">
      <w:pPr>
        <w:pStyle w:val="BodyText"/>
      </w:pPr>
      <w:r w:rsidRPr="00052722">
        <w:rPr>
          <w:w w:val="121"/>
        </w:rPr>
        <w:t>M/s.</w:t>
      </w:r>
      <w:r w:rsidRPr="00C90B38">
        <w:rPr>
          <w:b/>
          <w:sz w:val="26"/>
          <w:szCs w:val="26"/>
        </w:rPr>
        <w:t xml:space="preserve"> </w:t>
      </w:r>
      <w:r w:rsidR="0006425D">
        <w:rPr>
          <w:b/>
          <w:bCs/>
          <w:w w:val="121"/>
        </w:rPr>
        <w:t xml:space="preserve">S.H. Systems, </w:t>
      </w:r>
      <w:proofErr w:type="spellStart"/>
      <w:r w:rsidR="0006425D">
        <w:rPr>
          <w:b/>
          <w:bCs/>
          <w:w w:val="121"/>
        </w:rPr>
        <w:t>Raichur</w:t>
      </w:r>
      <w:proofErr w:type="spellEnd"/>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7E16E8">
        <w:rPr>
          <w:w w:val="121"/>
        </w:rPr>
        <w:t>No.</w:t>
      </w:r>
      <w:r w:rsidR="008D47A1">
        <w:rPr>
          <w:w w:val="121"/>
        </w:rPr>
        <w:t xml:space="preserve"> </w:t>
      </w:r>
      <w:r w:rsidR="00AD7B7F">
        <w:rPr>
          <w:w w:val="121"/>
        </w:rPr>
        <w:t>12-11-49, 3</w:t>
      </w:r>
      <w:r w:rsidR="00AD7B7F" w:rsidRPr="00AD7B7F">
        <w:rPr>
          <w:w w:val="121"/>
          <w:vertAlign w:val="superscript"/>
        </w:rPr>
        <w:t>rd</w:t>
      </w:r>
      <w:r w:rsidR="00AD7B7F">
        <w:rPr>
          <w:w w:val="121"/>
        </w:rPr>
        <w:t xml:space="preserve"> Floor, </w:t>
      </w:r>
      <w:proofErr w:type="spellStart"/>
      <w:r w:rsidR="00AD7B7F">
        <w:rPr>
          <w:w w:val="121"/>
        </w:rPr>
        <w:t>Ameer</w:t>
      </w:r>
      <w:proofErr w:type="spellEnd"/>
      <w:r w:rsidR="00AD7B7F">
        <w:rPr>
          <w:w w:val="121"/>
        </w:rPr>
        <w:t xml:space="preserve"> Trading Complex, </w:t>
      </w:r>
      <w:proofErr w:type="spellStart"/>
      <w:r w:rsidR="00AD7B7F">
        <w:rPr>
          <w:w w:val="121"/>
        </w:rPr>
        <w:t>Opp</w:t>
      </w:r>
      <w:proofErr w:type="spellEnd"/>
      <w:r w:rsidR="00AD7B7F">
        <w:rPr>
          <w:w w:val="121"/>
        </w:rPr>
        <w:t xml:space="preserve"> P.W.D. Office, </w:t>
      </w:r>
      <w:proofErr w:type="spellStart"/>
      <w:r w:rsidR="00AD7B7F">
        <w:rPr>
          <w:w w:val="121"/>
        </w:rPr>
        <w:t>Sath</w:t>
      </w:r>
      <w:proofErr w:type="spellEnd"/>
      <w:r w:rsidR="00AD7B7F">
        <w:rPr>
          <w:w w:val="121"/>
        </w:rPr>
        <w:t xml:space="preserve"> </w:t>
      </w:r>
      <w:proofErr w:type="spellStart"/>
      <w:r w:rsidR="00AD7B7F">
        <w:rPr>
          <w:w w:val="121"/>
        </w:rPr>
        <w:t>Kacheri</w:t>
      </w:r>
      <w:proofErr w:type="spellEnd"/>
      <w:r w:rsidR="00AD7B7F">
        <w:rPr>
          <w:w w:val="121"/>
        </w:rPr>
        <w:t xml:space="preserve"> Link Road, Raichur-584101, </w:t>
      </w:r>
      <w:r w:rsidRPr="00DD64AB">
        <w:t xml:space="preserve">herein referred to as </w:t>
      </w:r>
      <w:proofErr w:type="gramStart"/>
      <w:r w:rsidRPr="00DD64AB">
        <w:t>a</w:t>
      </w:r>
      <w:proofErr w:type="gramEnd"/>
      <w:r w:rsidRPr="00DD64AB">
        <w:t xml:space="preserve"> </w:t>
      </w:r>
      <w:r w:rsidRPr="00DD64AB">
        <w:rPr>
          <w:b/>
          <w:bCs/>
        </w:rPr>
        <w:t>‘Empanelled Service Provider for outsourcing of Manpower staffing’</w:t>
      </w:r>
      <w:r w:rsidRPr="00DD64AB">
        <w:t xml:space="preserve"> represented by </w:t>
      </w:r>
      <w:r>
        <w:t xml:space="preserve">Sri. </w:t>
      </w:r>
      <w:proofErr w:type="spellStart"/>
      <w:r w:rsidR="00AD7B7F">
        <w:t>Siddalingappa</w:t>
      </w:r>
      <w:proofErr w:type="spellEnd"/>
      <w:r w:rsidR="00AD7B7F">
        <w:t xml:space="preserve"> </w:t>
      </w:r>
      <w:proofErr w:type="spellStart"/>
      <w:r w:rsidR="00AD7B7F">
        <w:t>Angadi</w:t>
      </w:r>
      <w:proofErr w:type="spellEnd"/>
      <w:r w:rsidR="00AD7B7F">
        <w:t xml:space="preserve">,  </w:t>
      </w:r>
      <w:r>
        <w:t xml:space="preserve">S/o </w:t>
      </w:r>
      <w:proofErr w:type="spellStart"/>
      <w:r w:rsidR="00AD7B7F">
        <w:t>Veerappa</w:t>
      </w:r>
      <w:proofErr w:type="spellEnd"/>
      <w:r w:rsidR="00AD7B7F">
        <w:t xml:space="preserve"> </w:t>
      </w:r>
      <w:proofErr w:type="spellStart"/>
      <w:r w:rsidR="00AD7B7F">
        <w:t>Angadi</w:t>
      </w:r>
      <w:proofErr w:type="spellEnd"/>
      <w:r>
        <w:t xml:space="preserve"> ag</w:t>
      </w:r>
      <w:r w:rsidRPr="00DD64AB">
        <w:t xml:space="preserve">ed about </w:t>
      </w:r>
      <w:r w:rsidR="00AD7B7F">
        <w:t>42</w:t>
      </w:r>
      <w:r w:rsidRPr="00DD64AB">
        <w:t xml:space="preserve"> years</w:t>
      </w:r>
      <w:r>
        <w:t xml:space="preserve"> </w:t>
      </w:r>
      <w:r w:rsidRPr="00DD64AB">
        <w:t xml:space="preserve">and having PAN NO: </w:t>
      </w:r>
      <w:r w:rsidR="00542938">
        <w:t>AJQPA3545B</w:t>
      </w:r>
      <w:r w:rsidR="00F22ABA">
        <w:t xml:space="preserve"> </w:t>
      </w:r>
      <w:r>
        <w:t>,</w:t>
      </w:r>
      <w:proofErr w:type="spellStart"/>
      <w:r>
        <w:t>Aadhaar</w:t>
      </w:r>
      <w:proofErr w:type="spellEnd"/>
      <w:r>
        <w:t>/UIDAI No.</w:t>
      </w:r>
      <w:r w:rsidR="00542938">
        <w:rPr>
          <w:color w:val="000000" w:themeColor="text1"/>
        </w:rPr>
        <w:t>351972980573</w:t>
      </w:r>
      <w:r w:rsidR="0015302A">
        <w:rPr>
          <w:color w:val="000000" w:themeColor="text1"/>
        </w:rPr>
        <w:t xml:space="preserve"> </w:t>
      </w:r>
      <w:r>
        <w:t>and</w:t>
      </w:r>
      <w:r w:rsidRPr="00DD64AB">
        <w:t xml:space="preserve"> </w:t>
      </w:r>
      <w:r>
        <w:t>GSTIN: 29</w:t>
      </w:r>
      <w:r w:rsidR="00542938">
        <w:t xml:space="preserve">AJQPA3545B1ZE </w:t>
      </w:r>
      <w:r>
        <w:t xml:space="preserve">residing </w:t>
      </w:r>
      <w:r>
        <w:rPr>
          <w:w w:val="121"/>
        </w:rPr>
        <w:t>at No.</w:t>
      </w:r>
      <w:r w:rsidR="00542938">
        <w:rPr>
          <w:w w:val="121"/>
        </w:rPr>
        <w:t xml:space="preserve">1-11-53/91, </w:t>
      </w:r>
      <w:proofErr w:type="spellStart"/>
      <w:r w:rsidR="00542938">
        <w:rPr>
          <w:w w:val="121"/>
        </w:rPr>
        <w:t>Vidya</w:t>
      </w:r>
      <w:proofErr w:type="spellEnd"/>
      <w:r w:rsidR="00542938">
        <w:rPr>
          <w:w w:val="121"/>
        </w:rPr>
        <w:t xml:space="preserve"> </w:t>
      </w:r>
      <w:proofErr w:type="spellStart"/>
      <w:r w:rsidR="00542938">
        <w:rPr>
          <w:w w:val="121"/>
        </w:rPr>
        <w:t>Bharathi</w:t>
      </w:r>
      <w:proofErr w:type="spellEnd"/>
      <w:r w:rsidR="00542938">
        <w:rPr>
          <w:w w:val="121"/>
        </w:rPr>
        <w:t xml:space="preserve"> School Road, </w:t>
      </w:r>
      <w:proofErr w:type="spellStart"/>
      <w:r w:rsidR="00542938">
        <w:rPr>
          <w:w w:val="121"/>
        </w:rPr>
        <w:t>Sriram</w:t>
      </w:r>
      <w:proofErr w:type="spellEnd"/>
      <w:r w:rsidR="00542938">
        <w:rPr>
          <w:w w:val="121"/>
        </w:rPr>
        <w:t xml:space="preserve"> Nagar Colony, </w:t>
      </w:r>
      <w:proofErr w:type="spellStart"/>
      <w:r w:rsidR="00542938">
        <w:rPr>
          <w:w w:val="121"/>
        </w:rPr>
        <w:t>Raichur</w:t>
      </w:r>
      <w:proofErr w:type="spellEnd"/>
      <w:r>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sidR="0006425D">
        <w:rPr>
          <w:rFonts w:ascii="Times New Roman" w:hAnsi="Times New Roman"/>
          <w:b/>
          <w:bCs/>
          <w:w w:val="121"/>
        </w:rPr>
        <w:t xml:space="preserve">S.H. Systems, </w:t>
      </w:r>
      <w:proofErr w:type="spellStart"/>
      <w:r w:rsidR="0006425D">
        <w:rPr>
          <w:rFonts w:ascii="Times New Roman" w:hAnsi="Times New Roman"/>
          <w:b/>
          <w:bCs/>
          <w:w w:val="121"/>
        </w:rPr>
        <w:t>Raichur</w:t>
      </w:r>
      <w:proofErr w:type="spellEnd"/>
      <w:r w:rsidR="0006425D">
        <w:rPr>
          <w:rFonts w:ascii="Times New Roman" w:hAnsi="Times New Roman"/>
          <w:b/>
          <w:sz w:val="26"/>
          <w:szCs w:val="26"/>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06425D">
        <w:rPr>
          <w:rFonts w:ascii="Times New Roman" w:hAnsi="Times New Roman"/>
          <w:sz w:val="24"/>
          <w:szCs w:val="24"/>
        </w:rPr>
        <w:t>NEFT</w:t>
      </w:r>
      <w:r w:rsidR="00602E3A">
        <w:rPr>
          <w:rFonts w:ascii="Times New Roman" w:hAnsi="Times New Roman"/>
          <w:sz w:val="24"/>
          <w:szCs w:val="24"/>
        </w:rPr>
        <w:t xml:space="preserve"> </w:t>
      </w:r>
      <w:r w:rsidRPr="00291344">
        <w:rPr>
          <w:rFonts w:ascii="Times New Roman" w:hAnsi="Times New Roman"/>
          <w:sz w:val="24"/>
          <w:szCs w:val="24"/>
        </w:rPr>
        <w:t>dated :</w:t>
      </w:r>
      <w:r w:rsidR="0006425D">
        <w:rPr>
          <w:rFonts w:ascii="Times New Roman" w:hAnsi="Times New Roman"/>
          <w:sz w:val="24"/>
          <w:szCs w:val="24"/>
        </w:rPr>
        <w:t>16</w:t>
      </w:r>
      <w:r w:rsidR="002A49EB">
        <w:rPr>
          <w:rFonts w:ascii="Times New Roman" w:hAnsi="Times New Roman"/>
          <w:sz w:val="24"/>
          <w:szCs w:val="24"/>
        </w:rPr>
        <w:t>-12</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and also ha</w:t>
      </w:r>
      <w:r w:rsidR="006847B3">
        <w:rPr>
          <w:rFonts w:ascii="Times New Roman" w:hAnsi="Times New Roman"/>
          <w:sz w:val="24"/>
          <w:szCs w:val="24"/>
        </w:rPr>
        <w:t xml:space="preserve">ve paid  the Security Deposit of Rs. 1,80,572/- towards 1% </w:t>
      </w:r>
      <w:r w:rsidR="005B57E9">
        <w:rPr>
          <w:rFonts w:ascii="Times New Roman" w:hAnsi="Times New Roman"/>
          <w:sz w:val="24"/>
          <w:szCs w:val="24"/>
        </w:rPr>
        <w:t>of the previous year</w:t>
      </w:r>
      <w:r w:rsidR="006847B3">
        <w:rPr>
          <w:rFonts w:ascii="Times New Roman" w:hAnsi="Times New Roman"/>
          <w:sz w:val="24"/>
          <w:szCs w:val="24"/>
        </w:rPr>
        <w:t xml:space="preserve"> transaction, </w:t>
      </w:r>
      <w:r w:rsidR="005B57E9">
        <w:rPr>
          <w:rFonts w:ascii="Times New Roman" w:hAnsi="Times New Roman"/>
          <w:sz w:val="24"/>
          <w:szCs w:val="24"/>
        </w:rPr>
        <w:t xml:space="preserve">which is </w:t>
      </w:r>
      <w:r w:rsidR="006847B3">
        <w:rPr>
          <w:rFonts w:ascii="Times New Roman" w:hAnsi="Times New Roman"/>
          <w:sz w:val="24"/>
          <w:szCs w:val="24"/>
        </w:rPr>
        <w:t xml:space="preserve"> a</w:t>
      </w:r>
      <w:r w:rsidR="00147466">
        <w:rPr>
          <w:rFonts w:ascii="Times New Roman" w:hAnsi="Times New Roman"/>
          <w:sz w:val="24"/>
          <w:szCs w:val="24"/>
        </w:rPr>
        <w:t xml:space="preserve">djusted </w:t>
      </w:r>
      <w:r w:rsidR="005B57E9">
        <w:rPr>
          <w:rFonts w:ascii="Times New Roman" w:hAnsi="Times New Roman"/>
          <w:sz w:val="24"/>
          <w:szCs w:val="24"/>
        </w:rPr>
        <w:t xml:space="preserve">in the existing amount of Rs  2,52,973/- vide RTGS date:03-12-2019 </w:t>
      </w:r>
      <w:r>
        <w:rPr>
          <w:rFonts w:ascii="Times New Roman" w:hAnsi="Times New Roman"/>
          <w:sz w:val="24"/>
          <w:szCs w:val="24"/>
        </w:rPr>
        <w:t>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0006425D">
        <w:rPr>
          <w:rFonts w:ascii="Times New Roman" w:hAnsi="Times New Roman"/>
          <w:b/>
          <w:bCs/>
          <w:sz w:val="24"/>
          <w:szCs w:val="24"/>
        </w:rPr>
        <w:t xml:space="preserve"> 07</w:t>
      </w:r>
      <w:r w:rsidRPr="00291344">
        <w:rPr>
          <w:rFonts w:ascii="Times New Roman" w:hAnsi="Times New Roman"/>
          <w:b/>
          <w:bCs/>
          <w:sz w:val="24"/>
          <w:szCs w:val="24"/>
        </w:rPr>
        <w:t>-</w:t>
      </w:r>
      <w:r w:rsidR="004D06EA">
        <w:rPr>
          <w:rFonts w:ascii="Times New Roman" w:hAnsi="Times New Roman"/>
          <w:b/>
          <w:bCs/>
          <w:sz w:val="24"/>
          <w:szCs w:val="24"/>
        </w:rPr>
        <w:t>12</w:t>
      </w:r>
      <w:r w:rsidR="00E93977">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06425D">
        <w:rPr>
          <w:rFonts w:ascii="Times New Roman" w:hAnsi="Times New Roman"/>
          <w:b/>
          <w:bCs/>
          <w:sz w:val="24"/>
          <w:szCs w:val="24"/>
        </w:rPr>
        <w:t xml:space="preserve"> 06</w:t>
      </w:r>
      <w:r w:rsidRPr="00291344">
        <w:rPr>
          <w:rFonts w:ascii="Times New Roman" w:hAnsi="Times New Roman"/>
          <w:b/>
          <w:bCs/>
          <w:sz w:val="24"/>
          <w:szCs w:val="24"/>
        </w:rPr>
        <w:t>-</w:t>
      </w:r>
      <w:r w:rsidR="00400ABC">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w:t>
      </w:r>
      <w:r w:rsidR="00E93977">
        <w:rPr>
          <w:rFonts w:ascii="Times New Roman" w:hAnsi="Times New Roman"/>
          <w:b/>
          <w:bCs/>
          <w:sz w:val="24"/>
          <w:szCs w:val="24"/>
        </w:rPr>
        <w:t>1</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647E3" w:rsidRDefault="001647E3"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 xml:space="preserve">means any allegation, debt, cause of action, liability, claim, proceeding, suit or demand of any nature howsoever arising and whether direct or indirect, </w:t>
      </w:r>
      <w:r w:rsidRPr="00DD64AB">
        <w:rPr>
          <w:rFonts w:ascii="Times New Roman" w:hAnsi="Times New Roman"/>
          <w:sz w:val="24"/>
          <w:szCs w:val="24"/>
          <w:lang w:val="en-GB"/>
        </w:rPr>
        <w:lastRenderedPageBreak/>
        <w:t>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9351FE">
        <w:rPr>
          <w:rFonts w:ascii="Times New Roman" w:hAnsi="Times New Roman"/>
          <w:b/>
          <w:bCs/>
          <w:sz w:val="24"/>
          <w:szCs w:val="24"/>
        </w:rPr>
        <w:t>07</w:t>
      </w:r>
      <w:r w:rsidRPr="00291344">
        <w:rPr>
          <w:rFonts w:ascii="Times New Roman" w:hAnsi="Times New Roman"/>
          <w:b/>
          <w:bCs/>
          <w:sz w:val="24"/>
          <w:szCs w:val="24"/>
        </w:rPr>
        <w:t>-</w:t>
      </w:r>
      <w:r w:rsidR="00EC12E2">
        <w:rPr>
          <w:rFonts w:ascii="Times New Roman" w:hAnsi="Times New Roman"/>
          <w:b/>
          <w:bCs/>
          <w:sz w:val="24"/>
          <w:szCs w:val="24"/>
        </w:rPr>
        <w:t>12</w:t>
      </w:r>
      <w:r w:rsidR="00A9510B">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9351FE">
        <w:rPr>
          <w:rFonts w:ascii="Times New Roman" w:hAnsi="Times New Roman"/>
          <w:b/>
          <w:bCs/>
          <w:sz w:val="24"/>
          <w:szCs w:val="24"/>
        </w:rPr>
        <w:t xml:space="preserve"> 06</w:t>
      </w:r>
      <w:r w:rsidRPr="00291344">
        <w:rPr>
          <w:rFonts w:ascii="Times New Roman" w:hAnsi="Times New Roman"/>
          <w:b/>
          <w:bCs/>
          <w:sz w:val="24"/>
          <w:szCs w:val="24"/>
        </w:rPr>
        <w:t>-</w:t>
      </w:r>
      <w:r w:rsidR="00353B4E">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w:t>
      </w:r>
      <w:r w:rsidR="00A9510B">
        <w:rPr>
          <w:rFonts w:ascii="Times New Roman" w:hAnsi="Times New Roman"/>
          <w:b/>
          <w:bCs/>
          <w:sz w:val="24"/>
          <w:szCs w:val="24"/>
        </w:rPr>
        <w:t>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w:t>
      </w:r>
      <w:r w:rsidRPr="00DD64AB">
        <w:rPr>
          <w:rFonts w:ascii="Times New Roman" w:hAnsi="Times New Roman"/>
          <w:sz w:val="24"/>
          <w:szCs w:val="24"/>
        </w:rPr>
        <w:lastRenderedPageBreak/>
        <w:t>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w:t>
      </w:r>
      <w:r w:rsidR="006847B3">
        <w:rPr>
          <w:rFonts w:ascii="Times New Roman" w:hAnsi="Times New Roman"/>
          <w:sz w:val="24"/>
          <w:szCs w:val="24"/>
        </w:rPr>
        <w:t xml:space="preserve">the Security Deposit of Rs. 1,80,572/- towards 1% of the previous year transaction, which is  adjusted in the existing amount of Rs  2,52,973/- vide RTGS date:03-12-2019. </w:t>
      </w:r>
      <w:r w:rsidRPr="00436E62">
        <w:rPr>
          <w:rFonts w:ascii="Times New Roman" w:hAnsi="Times New Roman"/>
          <w:sz w:val="24"/>
          <w:szCs w:val="24"/>
        </w:rPr>
        <w:t xml:space="preserve">The security deposit shall be retained up to and including 60 (sixty) days after the contract is over. </w:t>
      </w:r>
    </w:p>
    <w:p w:rsidR="00196B70"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710460" w:rsidRPr="00DD64AB" w:rsidRDefault="00710460" w:rsidP="00710460">
      <w:pPr>
        <w:pStyle w:val="PlainText"/>
        <w:spacing w:line="276" w:lineRule="auto"/>
        <w:ind w:left="851"/>
        <w:jc w:val="both"/>
        <w:rPr>
          <w:rFonts w:ascii="Times New Roman" w:hAnsi="Times New Roman"/>
          <w:sz w:val="24"/>
          <w:szCs w:val="24"/>
        </w:rPr>
      </w:pP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 xml:space="preserve">The First party shall not be liable for any damage or compensation payable in respect of or in consequence of any accident or injury to any employee or any employee in the </w:t>
      </w:r>
      <w:r w:rsidRPr="00DD64AB">
        <w:rPr>
          <w:rFonts w:ascii="Times New Roman" w:hAnsi="Times New Roman"/>
          <w:sz w:val="24"/>
          <w:szCs w:val="24"/>
        </w:rPr>
        <w:lastRenderedPageBreak/>
        <w:t>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C54DD0" w:rsidP="00005B01">
      <w:pPr>
        <w:autoSpaceDE w:val="0"/>
        <w:autoSpaceDN w:val="0"/>
        <w:adjustRightInd w:val="0"/>
        <w:spacing w:after="0" w:line="240" w:lineRule="auto"/>
        <w:rPr>
          <w:rFonts w:ascii="Times New Roman" w:hAnsi="Times New Roman"/>
          <w:b/>
          <w:sz w:val="24"/>
          <w:szCs w:val="24"/>
        </w:rPr>
      </w:pPr>
      <w:r w:rsidRPr="00C54DD0">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r w:rsidR="00FF1815">
              <w:rPr>
                <w:rFonts w:ascii="Times New Roman" w:hAnsi="Times New Roman"/>
                <w:b/>
                <w:bCs/>
                <w:w w:val="121"/>
              </w:rPr>
              <w:t xml:space="preserve">S.H. Systems </w:t>
            </w:r>
            <w:proofErr w:type="spellStart"/>
            <w:r w:rsidR="00FF1815">
              <w:rPr>
                <w:rFonts w:ascii="Times New Roman" w:hAnsi="Times New Roman"/>
                <w:b/>
                <w:bCs/>
                <w:w w:val="121"/>
              </w:rPr>
              <w:t>Raichur</w:t>
            </w:r>
            <w:proofErr w:type="spellEnd"/>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1139"/>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25D"/>
    <w:rsid w:val="00064CFF"/>
    <w:rsid w:val="00080128"/>
    <w:rsid w:val="00081000"/>
    <w:rsid w:val="000845C6"/>
    <w:rsid w:val="000928D4"/>
    <w:rsid w:val="000A478A"/>
    <w:rsid w:val="000C5C9B"/>
    <w:rsid w:val="000D790D"/>
    <w:rsid w:val="000E51E3"/>
    <w:rsid w:val="000E6642"/>
    <w:rsid w:val="000F1EFF"/>
    <w:rsid w:val="000F7AA5"/>
    <w:rsid w:val="00102A06"/>
    <w:rsid w:val="00103DA9"/>
    <w:rsid w:val="00104B37"/>
    <w:rsid w:val="00105B8A"/>
    <w:rsid w:val="00110D84"/>
    <w:rsid w:val="00112B22"/>
    <w:rsid w:val="00115B80"/>
    <w:rsid w:val="001177F6"/>
    <w:rsid w:val="0012197A"/>
    <w:rsid w:val="00122D52"/>
    <w:rsid w:val="00127463"/>
    <w:rsid w:val="00137025"/>
    <w:rsid w:val="00147466"/>
    <w:rsid w:val="00151717"/>
    <w:rsid w:val="0015302A"/>
    <w:rsid w:val="00154652"/>
    <w:rsid w:val="00156D65"/>
    <w:rsid w:val="001647E3"/>
    <w:rsid w:val="001721F4"/>
    <w:rsid w:val="00177384"/>
    <w:rsid w:val="001809D3"/>
    <w:rsid w:val="00193AD5"/>
    <w:rsid w:val="00196B70"/>
    <w:rsid w:val="001A0FDF"/>
    <w:rsid w:val="001A1FA6"/>
    <w:rsid w:val="001A2E50"/>
    <w:rsid w:val="001A3E04"/>
    <w:rsid w:val="001A4FA2"/>
    <w:rsid w:val="001B27FF"/>
    <w:rsid w:val="001B3537"/>
    <w:rsid w:val="001B5119"/>
    <w:rsid w:val="001B6935"/>
    <w:rsid w:val="001C1226"/>
    <w:rsid w:val="001E0CD1"/>
    <w:rsid w:val="001E6AB0"/>
    <w:rsid w:val="001F4931"/>
    <w:rsid w:val="001F6BAF"/>
    <w:rsid w:val="002007B7"/>
    <w:rsid w:val="0020327A"/>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4222"/>
    <w:rsid w:val="00296130"/>
    <w:rsid w:val="00296443"/>
    <w:rsid w:val="002A49EB"/>
    <w:rsid w:val="002A656D"/>
    <w:rsid w:val="002A6B89"/>
    <w:rsid w:val="002B2E3E"/>
    <w:rsid w:val="002B6C7E"/>
    <w:rsid w:val="002C295F"/>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3B4E"/>
    <w:rsid w:val="003542F4"/>
    <w:rsid w:val="003805C6"/>
    <w:rsid w:val="003806AF"/>
    <w:rsid w:val="00395498"/>
    <w:rsid w:val="003A02FD"/>
    <w:rsid w:val="003A36E5"/>
    <w:rsid w:val="003A4E5C"/>
    <w:rsid w:val="003A52DC"/>
    <w:rsid w:val="003C0AB2"/>
    <w:rsid w:val="003D0B19"/>
    <w:rsid w:val="003D3159"/>
    <w:rsid w:val="003D3B3A"/>
    <w:rsid w:val="003D43C6"/>
    <w:rsid w:val="003D7BBA"/>
    <w:rsid w:val="003E374D"/>
    <w:rsid w:val="003E7853"/>
    <w:rsid w:val="003F16DA"/>
    <w:rsid w:val="003F3E12"/>
    <w:rsid w:val="003F3E36"/>
    <w:rsid w:val="00400ABC"/>
    <w:rsid w:val="00404405"/>
    <w:rsid w:val="00410D70"/>
    <w:rsid w:val="00410F1A"/>
    <w:rsid w:val="00417687"/>
    <w:rsid w:val="00417A0D"/>
    <w:rsid w:val="00422B26"/>
    <w:rsid w:val="00435EE6"/>
    <w:rsid w:val="00436E62"/>
    <w:rsid w:val="004416AD"/>
    <w:rsid w:val="004470ED"/>
    <w:rsid w:val="0045039B"/>
    <w:rsid w:val="004665F4"/>
    <w:rsid w:val="004668E6"/>
    <w:rsid w:val="00472914"/>
    <w:rsid w:val="00473FDB"/>
    <w:rsid w:val="00474C59"/>
    <w:rsid w:val="004768D2"/>
    <w:rsid w:val="004812AC"/>
    <w:rsid w:val="00482949"/>
    <w:rsid w:val="00482D58"/>
    <w:rsid w:val="00491741"/>
    <w:rsid w:val="0049549A"/>
    <w:rsid w:val="004A6010"/>
    <w:rsid w:val="004C320C"/>
    <w:rsid w:val="004C4AF6"/>
    <w:rsid w:val="004C6121"/>
    <w:rsid w:val="004D06EA"/>
    <w:rsid w:val="004D0DFF"/>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2938"/>
    <w:rsid w:val="005441E1"/>
    <w:rsid w:val="0054479A"/>
    <w:rsid w:val="005459ED"/>
    <w:rsid w:val="00545C6D"/>
    <w:rsid w:val="0054760C"/>
    <w:rsid w:val="00552FFE"/>
    <w:rsid w:val="00553163"/>
    <w:rsid w:val="005535EA"/>
    <w:rsid w:val="005613CA"/>
    <w:rsid w:val="00562CB3"/>
    <w:rsid w:val="005631D6"/>
    <w:rsid w:val="00571C9D"/>
    <w:rsid w:val="0057333B"/>
    <w:rsid w:val="005800DA"/>
    <w:rsid w:val="005841CC"/>
    <w:rsid w:val="00593F44"/>
    <w:rsid w:val="005977CE"/>
    <w:rsid w:val="005A6281"/>
    <w:rsid w:val="005A6839"/>
    <w:rsid w:val="005B1409"/>
    <w:rsid w:val="005B57E9"/>
    <w:rsid w:val="005C2D4D"/>
    <w:rsid w:val="005C5A6D"/>
    <w:rsid w:val="005C7494"/>
    <w:rsid w:val="005D0F68"/>
    <w:rsid w:val="005E38A7"/>
    <w:rsid w:val="005E4D43"/>
    <w:rsid w:val="005E594D"/>
    <w:rsid w:val="005E6B08"/>
    <w:rsid w:val="005F4A47"/>
    <w:rsid w:val="00602E3A"/>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47B3"/>
    <w:rsid w:val="00685934"/>
    <w:rsid w:val="00692002"/>
    <w:rsid w:val="006A050A"/>
    <w:rsid w:val="006A68E1"/>
    <w:rsid w:val="006A6958"/>
    <w:rsid w:val="006B08B4"/>
    <w:rsid w:val="006B30CB"/>
    <w:rsid w:val="006B4552"/>
    <w:rsid w:val="006B75BE"/>
    <w:rsid w:val="006C1E04"/>
    <w:rsid w:val="006C2D97"/>
    <w:rsid w:val="006D7987"/>
    <w:rsid w:val="006E6B32"/>
    <w:rsid w:val="006E6EAE"/>
    <w:rsid w:val="006E74AC"/>
    <w:rsid w:val="006E7CD9"/>
    <w:rsid w:val="006F2FFE"/>
    <w:rsid w:val="00701195"/>
    <w:rsid w:val="007020F9"/>
    <w:rsid w:val="0070445D"/>
    <w:rsid w:val="00706968"/>
    <w:rsid w:val="007076FA"/>
    <w:rsid w:val="00710460"/>
    <w:rsid w:val="00720F8B"/>
    <w:rsid w:val="00724955"/>
    <w:rsid w:val="0073355F"/>
    <w:rsid w:val="007335DD"/>
    <w:rsid w:val="007367A8"/>
    <w:rsid w:val="00743619"/>
    <w:rsid w:val="007519DC"/>
    <w:rsid w:val="007530D1"/>
    <w:rsid w:val="00756171"/>
    <w:rsid w:val="00765DD5"/>
    <w:rsid w:val="00770F86"/>
    <w:rsid w:val="007767EB"/>
    <w:rsid w:val="00791A39"/>
    <w:rsid w:val="007947A0"/>
    <w:rsid w:val="007976DB"/>
    <w:rsid w:val="007A35F9"/>
    <w:rsid w:val="007B50C1"/>
    <w:rsid w:val="007B663E"/>
    <w:rsid w:val="007B7511"/>
    <w:rsid w:val="007B76AC"/>
    <w:rsid w:val="007C1D8C"/>
    <w:rsid w:val="007C2318"/>
    <w:rsid w:val="007C3FFA"/>
    <w:rsid w:val="007D44DF"/>
    <w:rsid w:val="007D5103"/>
    <w:rsid w:val="007D7093"/>
    <w:rsid w:val="007E048F"/>
    <w:rsid w:val="007E05D0"/>
    <w:rsid w:val="007E16E8"/>
    <w:rsid w:val="007E64A9"/>
    <w:rsid w:val="007E74E9"/>
    <w:rsid w:val="007E7EB5"/>
    <w:rsid w:val="00801D03"/>
    <w:rsid w:val="00806137"/>
    <w:rsid w:val="0080768B"/>
    <w:rsid w:val="00816FBE"/>
    <w:rsid w:val="00827320"/>
    <w:rsid w:val="008349D4"/>
    <w:rsid w:val="00836E72"/>
    <w:rsid w:val="00842FE8"/>
    <w:rsid w:val="00862CA0"/>
    <w:rsid w:val="00877241"/>
    <w:rsid w:val="0088136B"/>
    <w:rsid w:val="0088287E"/>
    <w:rsid w:val="00886C9E"/>
    <w:rsid w:val="00892F05"/>
    <w:rsid w:val="008A28AE"/>
    <w:rsid w:val="008A3144"/>
    <w:rsid w:val="008B123A"/>
    <w:rsid w:val="008B5712"/>
    <w:rsid w:val="008C5201"/>
    <w:rsid w:val="008D3638"/>
    <w:rsid w:val="008D47A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351FE"/>
    <w:rsid w:val="0094651C"/>
    <w:rsid w:val="00952EBC"/>
    <w:rsid w:val="00967138"/>
    <w:rsid w:val="00971FED"/>
    <w:rsid w:val="00972435"/>
    <w:rsid w:val="00975510"/>
    <w:rsid w:val="0097725D"/>
    <w:rsid w:val="0099713B"/>
    <w:rsid w:val="009B0911"/>
    <w:rsid w:val="009B3C4C"/>
    <w:rsid w:val="009C0954"/>
    <w:rsid w:val="009C4846"/>
    <w:rsid w:val="009C519B"/>
    <w:rsid w:val="009D4B6E"/>
    <w:rsid w:val="009D4EA9"/>
    <w:rsid w:val="009E6B01"/>
    <w:rsid w:val="009F1884"/>
    <w:rsid w:val="009F24D4"/>
    <w:rsid w:val="009F45EA"/>
    <w:rsid w:val="009F6085"/>
    <w:rsid w:val="009F65DB"/>
    <w:rsid w:val="00A00950"/>
    <w:rsid w:val="00A02959"/>
    <w:rsid w:val="00A1298A"/>
    <w:rsid w:val="00A137D0"/>
    <w:rsid w:val="00A2591B"/>
    <w:rsid w:val="00A27418"/>
    <w:rsid w:val="00A31C2E"/>
    <w:rsid w:val="00A33F66"/>
    <w:rsid w:val="00A44456"/>
    <w:rsid w:val="00A45A3B"/>
    <w:rsid w:val="00A6387C"/>
    <w:rsid w:val="00A63F88"/>
    <w:rsid w:val="00A756C0"/>
    <w:rsid w:val="00A772D7"/>
    <w:rsid w:val="00A80419"/>
    <w:rsid w:val="00A83AFF"/>
    <w:rsid w:val="00A861BD"/>
    <w:rsid w:val="00A86B1D"/>
    <w:rsid w:val="00A9510B"/>
    <w:rsid w:val="00AA43CA"/>
    <w:rsid w:val="00AB2A76"/>
    <w:rsid w:val="00AC58BA"/>
    <w:rsid w:val="00AD2C70"/>
    <w:rsid w:val="00AD5FC2"/>
    <w:rsid w:val="00AD6E91"/>
    <w:rsid w:val="00AD7B7F"/>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65434"/>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54DD0"/>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240B"/>
    <w:rsid w:val="00CE7521"/>
    <w:rsid w:val="00CF003F"/>
    <w:rsid w:val="00CF1A83"/>
    <w:rsid w:val="00CF256E"/>
    <w:rsid w:val="00CF317C"/>
    <w:rsid w:val="00CF7255"/>
    <w:rsid w:val="00D00FAC"/>
    <w:rsid w:val="00D0160F"/>
    <w:rsid w:val="00D0168F"/>
    <w:rsid w:val="00D02C82"/>
    <w:rsid w:val="00D20E51"/>
    <w:rsid w:val="00D23755"/>
    <w:rsid w:val="00D2729A"/>
    <w:rsid w:val="00D35499"/>
    <w:rsid w:val="00D403D9"/>
    <w:rsid w:val="00D45538"/>
    <w:rsid w:val="00D77A61"/>
    <w:rsid w:val="00D80D3B"/>
    <w:rsid w:val="00D92FB9"/>
    <w:rsid w:val="00D969CD"/>
    <w:rsid w:val="00DA7466"/>
    <w:rsid w:val="00DB7C51"/>
    <w:rsid w:val="00DC77A0"/>
    <w:rsid w:val="00DD649E"/>
    <w:rsid w:val="00DD64AB"/>
    <w:rsid w:val="00DD6613"/>
    <w:rsid w:val="00DE6A66"/>
    <w:rsid w:val="00DF3642"/>
    <w:rsid w:val="00E033AC"/>
    <w:rsid w:val="00E102EC"/>
    <w:rsid w:val="00E23201"/>
    <w:rsid w:val="00E2526B"/>
    <w:rsid w:val="00E26352"/>
    <w:rsid w:val="00E334FE"/>
    <w:rsid w:val="00E3563F"/>
    <w:rsid w:val="00E54DC5"/>
    <w:rsid w:val="00E571C1"/>
    <w:rsid w:val="00E60753"/>
    <w:rsid w:val="00E61257"/>
    <w:rsid w:val="00E71A56"/>
    <w:rsid w:val="00E74F88"/>
    <w:rsid w:val="00E80466"/>
    <w:rsid w:val="00E869EC"/>
    <w:rsid w:val="00E86E2F"/>
    <w:rsid w:val="00E93977"/>
    <w:rsid w:val="00E94406"/>
    <w:rsid w:val="00E9457B"/>
    <w:rsid w:val="00EA097A"/>
    <w:rsid w:val="00EC12E2"/>
    <w:rsid w:val="00EC1DD7"/>
    <w:rsid w:val="00EC5A17"/>
    <w:rsid w:val="00ED1A80"/>
    <w:rsid w:val="00ED42D4"/>
    <w:rsid w:val="00EE18B8"/>
    <w:rsid w:val="00EF3750"/>
    <w:rsid w:val="00F009C0"/>
    <w:rsid w:val="00F00E53"/>
    <w:rsid w:val="00F0784F"/>
    <w:rsid w:val="00F131C1"/>
    <w:rsid w:val="00F148DA"/>
    <w:rsid w:val="00F1576D"/>
    <w:rsid w:val="00F22ABA"/>
    <w:rsid w:val="00F27AC1"/>
    <w:rsid w:val="00F301FA"/>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1815"/>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14</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277</cp:revision>
  <cp:lastPrinted>2021-02-15T09:15:00Z</cp:lastPrinted>
  <dcterms:created xsi:type="dcterms:W3CDTF">2020-06-26T05:45:00Z</dcterms:created>
  <dcterms:modified xsi:type="dcterms:W3CDTF">2021-02-15T09:19:00Z</dcterms:modified>
</cp:coreProperties>
</file>