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3467c032c0470706dd7a7c8b5b997241916af2"/>
    <w:p>
      <w:pPr>
        <w:pStyle w:val="Heading1"/>
      </w:pPr>
      <w:r>
        <w:t xml:space="preserve">3-Step Learning Scaffold: OECD Principles in Higher Education</w:t>
      </w:r>
    </w:p>
    <w:p>
      <w:pPr>
        <w:pStyle w:val="FirstParagraph"/>
      </w:pPr>
      <w:r>
        <w:rPr>
          <w:b/>
          <w:bCs/>
        </w:rPr>
        <w:t xml:space="preserve">Goal:</w:t>
      </w:r>
      <w:r>
        <w:t xml:space="preserve"> </w:t>
      </w:r>
      <w:r>
        <w:t xml:space="preserve">Move students from foundational knowledge to critical application of the OECD AI Principles in higher education classrooms.</w:t>
      </w:r>
    </w:p>
    <w:p>
      <w:pPr>
        <w:pStyle w:val="BodyText"/>
      </w:pPr>
      <w:r>
        <w:rPr>
          <w:b/>
          <w:bCs/>
        </w:rPr>
        <w:t xml:space="preserve">Visual flow:</w:t>
      </w:r>
      <w:r>
        <w:br/>
      </w:r>
      <w:r>
        <w:rPr>
          <w:b/>
          <w:bCs/>
        </w:rPr>
        <w:t xml:space="preserve">Step 1: Know it</w:t>
      </w:r>
      <w:r>
        <w:t xml:space="preserve"> </w:t>
      </w:r>
      <w:r>
        <w:t xml:space="preserve">➜</w:t>
      </w:r>
      <w:r>
        <w:t xml:space="preserve"> </w:t>
      </w:r>
      <w:r>
        <w:rPr>
          <w:b/>
          <w:bCs/>
        </w:rPr>
        <w:t xml:space="preserve">Step 2: Apply it</w:t>
      </w:r>
      <w:r>
        <w:t xml:space="preserve"> </w:t>
      </w:r>
      <w:r>
        <w:t xml:space="preserve">➜</w:t>
      </w:r>
      <w:r>
        <w:t xml:space="preserve"> </w:t>
      </w:r>
      <w:r>
        <w:rPr>
          <w:b/>
          <w:bCs/>
        </w:rPr>
        <w:t xml:space="preserve">Step 3: Judge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Learning Focus</w:t>
            </w:r>
          </w:p>
        </w:tc>
        <w:tc>
          <w:tcPr/>
          <w:p>
            <w:pPr>
              <w:pStyle w:val="Compact"/>
            </w:pPr>
            <w:r>
              <w:t xml:space="preserve">Student Task</w:t>
            </w:r>
          </w:p>
        </w:tc>
        <w:tc>
          <w:tcPr/>
          <w:p>
            <w:pPr>
              <w:pStyle w:val="Compact"/>
            </w:pPr>
            <w:r>
              <w:t xml:space="preserve">Graphic Cue</w:t>
            </w:r>
          </w:p>
        </w:tc>
        <w:tc>
          <w:tcPr/>
          <w:p>
            <w:pPr>
              <w:pStyle w:val="Compact"/>
            </w:pPr>
            <w:r>
              <w:t xml:space="preserve">Differentiation</w:t>
            </w:r>
          </w:p>
        </w:tc>
      </w:tr>
      <w:tr>
        <w:tc>
          <w:tcPr/>
          <w:p>
            <w:pPr>
              <w:pStyle w:val="Compact"/>
            </w:pPr>
            <w:r>
              <w:rPr>
                <w:b/>
                <w:bCs/>
              </w:rPr>
              <w:t xml:space="preserve">1. Foundation</w:t>
            </w:r>
          </w:p>
        </w:tc>
        <w:tc>
          <w:tcPr/>
          <w:p>
            <w:pPr>
              <w:pStyle w:val="Compact"/>
            </w:pPr>
            <w:r>
              <w:t xml:space="preserve">Understand the OECD AI Principles: inclusive growth, human-centred values, transparency, robustness, accountability.</w:t>
            </w:r>
          </w:p>
        </w:tc>
        <w:tc>
          <w:tcPr/>
          <w:p>
            <w:pPr>
              <w:pStyle w:val="Compact"/>
            </w:pPr>
            <w:r>
              <w:t xml:space="preserve">Match each principle to a plain-language classroom example.</w:t>
            </w:r>
          </w:p>
        </w:tc>
        <w:tc>
          <w:tcPr/>
          <w:p>
            <w:pPr>
              <w:pStyle w:val="Compact"/>
            </w:pPr>
            <w:r>
              <w:rPr>
                <w:b/>
                <w:bCs/>
              </w:rPr>
              <w:t xml:space="preserve">Lightbulb icon</w:t>
            </w:r>
            <w:r>
              <w:t xml:space="preserve">:</w:t>
            </w:r>
            <w:r>
              <w:t xml:space="preserve"> </w:t>
            </w:r>
            <w:r>
              <w:t xml:space="preserve">“What does trustworthy AI mean?”</w:t>
            </w:r>
          </w:p>
        </w:tc>
        <w:tc>
          <w:tcPr/>
          <w:p>
            <w:pPr>
              <w:pStyle w:val="Compact"/>
            </w:pPr>
            <w:r>
              <w:rPr>
                <w:b/>
                <w:bCs/>
              </w:rPr>
              <w:t xml:space="preserve">Beginner:</w:t>
            </w:r>
            <w:r>
              <w:t xml:space="preserve"> </w:t>
            </w:r>
            <w:r>
              <w:t xml:space="preserve">use definitions and word bank.</w:t>
            </w:r>
            <w:r>
              <w:t xml:space="preserve"> </w:t>
            </w:r>
            <w:r>
              <w:rPr>
                <w:b/>
                <w:bCs/>
              </w:rPr>
              <w:t xml:space="preserve">Intermediate:</w:t>
            </w:r>
            <w:r>
              <w:t xml:space="preserve"> </w:t>
            </w:r>
            <w:r>
              <w:t xml:space="preserve">explain one principle in your own words.</w:t>
            </w:r>
            <w:r>
              <w:t xml:space="preserve"> </w:t>
            </w:r>
            <w:r>
              <w:rPr>
                <w:b/>
                <w:bCs/>
              </w:rPr>
              <w:t xml:space="preserve">Advanced:</w:t>
            </w:r>
            <w:r>
              <w:t xml:space="preserve"> </w:t>
            </w:r>
            <w:r>
              <w:t xml:space="preserve">connect the principle to a real higher-ed policy issue.</w:t>
            </w:r>
          </w:p>
        </w:tc>
      </w:tr>
      <w:tr>
        <w:tc>
          <w:tcPr/>
          <w:p>
            <w:pPr>
              <w:pStyle w:val="Compact"/>
            </w:pPr>
            <w:r>
              <w:rPr>
                <w:b/>
                <w:bCs/>
              </w:rPr>
              <w:t xml:space="preserve">2. Guided Application</w:t>
            </w:r>
          </w:p>
        </w:tc>
        <w:tc>
          <w:tcPr/>
          <w:p>
            <w:pPr>
              <w:pStyle w:val="Compact"/>
            </w:pPr>
            <w:r>
              <w:t xml:space="preserve">See how principles shape teaching, assessment, and feedback. OECD guidance emphasizes trustworthy, human-centred AI and practical tools for implementation.</w:t>
            </w:r>
          </w:p>
        </w:tc>
        <w:tc>
          <w:tcPr/>
          <w:p>
            <w:pPr>
              <w:pStyle w:val="Compact"/>
            </w:pPr>
            <w:r>
              <w:t xml:space="preserve">Rewrite one classroom activity using AI responsibly, with a human review step.</w:t>
            </w:r>
          </w:p>
        </w:tc>
        <w:tc>
          <w:tcPr/>
          <w:p>
            <w:pPr>
              <w:pStyle w:val="Compact"/>
            </w:pPr>
            <w:r>
              <w:rPr>
                <w:b/>
                <w:bCs/>
              </w:rPr>
              <w:t xml:space="preserve">Bridge icon</w:t>
            </w:r>
            <w:r>
              <w:t xml:space="preserve">:</w:t>
            </w:r>
            <w:r>
              <w:t xml:space="preserve"> </w:t>
            </w:r>
            <w:r>
              <w:t xml:space="preserve">“Move from idea to classroom design”</w:t>
            </w:r>
          </w:p>
        </w:tc>
        <w:tc>
          <w:tcPr/>
          <w:p>
            <w:pPr>
              <w:pStyle w:val="Compact"/>
            </w:pPr>
            <w:r>
              <w:rPr>
                <w:b/>
                <w:bCs/>
              </w:rPr>
              <w:t xml:space="preserve">Beginner:</w:t>
            </w:r>
            <w:r>
              <w:t xml:space="preserve"> </w:t>
            </w:r>
            <w:r>
              <w:t xml:space="preserve">complete a template.</w:t>
            </w:r>
            <w:r>
              <w:t xml:space="preserve"> </w:t>
            </w:r>
            <w:r>
              <w:rPr>
                <w:b/>
                <w:bCs/>
              </w:rPr>
              <w:t xml:space="preserve">Intermediate:</w:t>
            </w:r>
            <w:r>
              <w:t xml:space="preserve"> </w:t>
            </w:r>
            <w:r>
              <w:t xml:space="preserve">add a safeguard.</w:t>
            </w:r>
            <w:r>
              <w:t xml:space="preserve"> </w:t>
            </w:r>
            <w:r>
              <w:rPr>
                <w:b/>
                <w:bCs/>
              </w:rPr>
              <w:t xml:space="preserve">Advanced:</w:t>
            </w:r>
            <w:r>
              <w:t xml:space="preserve"> </w:t>
            </w:r>
            <w:r>
              <w:t xml:space="preserve">design a disclosure, bias check, and escalation step.</w:t>
            </w:r>
          </w:p>
        </w:tc>
      </w:tr>
      <w:tr>
        <w:tc>
          <w:tcPr/>
          <w:p>
            <w:pPr>
              <w:pStyle w:val="Compact"/>
            </w:pPr>
            <w:r>
              <w:rPr>
                <w:b/>
                <w:bCs/>
              </w:rPr>
              <w:t xml:space="preserve">3. Critical Application</w:t>
            </w:r>
          </w:p>
        </w:tc>
        <w:tc>
          <w:tcPr/>
          <w:p>
            <w:pPr>
              <w:pStyle w:val="Compact"/>
            </w:pPr>
            <w:r>
              <w:t xml:space="preserve">Evaluate trade-offs, risks, and accountability in a higher education setting.</w:t>
            </w:r>
          </w:p>
        </w:tc>
        <w:tc>
          <w:tcPr/>
          <w:p>
            <w:pPr>
              <w:pStyle w:val="Compact"/>
            </w:pPr>
            <w:r>
              <w:t xml:space="preserve">Critique an AI-supported classroom scenario and defend whether it is ethical, fair, and transparent.</w:t>
            </w:r>
          </w:p>
        </w:tc>
        <w:tc>
          <w:tcPr/>
          <w:p>
            <w:pPr>
              <w:pStyle w:val="Compact"/>
            </w:pPr>
            <w:r>
              <w:rPr>
                <w:b/>
                <w:bCs/>
              </w:rPr>
              <w:t xml:space="preserve">Magnifying glass icon</w:t>
            </w:r>
            <w:r>
              <w:t xml:space="preserve">:</w:t>
            </w:r>
            <w:r>
              <w:t xml:space="preserve"> </w:t>
            </w:r>
            <w:r>
              <w:t xml:space="preserve">“Should this practice be adopted?”</w:t>
            </w:r>
          </w:p>
        </w:tc>
        <w:tc>
          <w:tcPr/>
          <w:p>
            <w:pPr>
              <w:pStyle w:val="Compact"/>
            </w:pPr>
            <w:r>
              <w:rPr>
                <w:b/>
                <w:bCs/>
              </w:rPr>
              <w:t xml:space="preserve">Beginner:</w:t>
            </w:r>
            <w:r>
              <w:t xml:space="preserve"> </w:t>
            </w:r>
            <w:r>
              <w:t xml:space="preserve">identify one risk.</w:t>
            </w:r>
            <w:r>
              <w:t xml:space="preserve"> </w:t>
            </w:r>
            <w:r>
              <w:rPr>
                <w:b/>
                <w:bCs/>
              </w:rPr>
              <w:t xml:space="preserve">Intermediate:</w:t>
            </w:r>
            <w:r>
              <w:t xml:space="preserve"> </w:t>
            </w:r>
            <w:r>
              <w:t xml:space="preserve">identify two risks and one safeguard.</w:t>
            </w:r>
            <w:r>
              <w:t xml:space="preserve"> </w:t>
            </w:r>
            <w:r>
              <w:rPr>
                <w:b/>
                <w:bCs/>
              </w:rPr>
              <w:t xml:space="preserve">Advanced:</w:t>
            </w:r>
            <w:r>
              <w:t xml:space="preserve"> </w:t>
            </w:r>
            <w:r>
              <w:t xml:space="preserve">recommend a policy decision with justification.</w:t>
            </w:r>
          </w:p>
        </w:tc>
      </w:tr>
    </w:tbl>
    <w:bookmarkStart w:id="20" w:name="simple-classroom-graphic"/>
    <w:p>
      <w:pPr>
        <w:pStyle w:val="Heading2"/>
      </w:pPr>
      <w:r>
        <w:t xml:space="preserve">Simple classroom graphic</w:t>
      </w:r>
    </w:p>
    <w:p>
      <w:pPr>
        <w:pStyle w:val="FirstParagraph"/>
      </w:pPr>
      <w:r>
        <w:rPr>
          <w:b/>
          <w:bCs/>
        </w:rPr>
        <w:t xml:space="preserve">Knowledge ladder:</w:t>
      </w:r>
      <w:r>
        <w:br/>
      </w:r>
      <w:r>
        <w:rPr>
          <w:b/>
          <w:bCs/>
        </w:rPr>
        <w:t xml:space="preserve">Principle recognition</w:t>
      </w:r>
      <w:r>
        <w:t xml:space="preserve"> </w:t>
      </w:r>
      <w:r>
        <w:t xml:space="preserve">→</w:t>
      </w:r>
      <w:r>
        <w:t xml:space="preserve"> </w:t>
      </w:r>
      <w:r>
        <w:rPr>
          <w:b/>
          <w:bCs/>
        </w:rPr>
        <w:t xml:space="preserve">Responsible design</w:t>
      </w:r>
      <w:r>
        <w:t xml:space="preserve"> </w:t>
      </w:r>
      <w:r>
        <w:t xml:space="preserve">→</w:t>
      </w:r>
      <w:r>
        <w:t xml:space="preserve"> </w:t>
      </w:r>
      <w:r>
        <w:rPr>
          <w:b/>
          <w:bCs/>
        </w:rPr>
        <w:t xml:space="preserve">Ethical judgment</w:t>
      </w:r>
    </w:p>
    <w:bookmarkEnd w:id="20"/>
    <w:bookmarkStart w:id="21" w:name="suggested-classroom-materials"/>
    <w:p>
      <w:pPr>
        <w:pStyle w:val="Heading2"/>
      </w:pPr>
      <w:r>
        <w:t xml:space="preserve">Suggested classroom materials</w:t>
      </w:r>
    </w:p>
    <w:p>
      <w:pPr>
        <w:pStyle w:val="FirstParagraph"/>
      </w:pPr>
      <w:r>
        <w:t xml:space="preserve">Whiteboard, chart paper, sticky notes, markers, printed scenario cards, and a one-page OECD principles handout.</w:t>
      </w:r>
    </w:p>
    <w:bookmarkEnd w:id="21"/>
    <w:bookmarkStart w:id="22" w:name="source-validation"/>
    <w:p>
      <w:pPr>
        <w:pStyle w:val="Heading2"/>
      </w:pPr>
      <w:r>
        <w:t xml:space="preserve">Source validation</w:t>
      </w:r>
    </w:p>
    <w:p>
      <w:pPr>
        <w:pStyle w:val="FirstParagraph"/>
      </w:pPr>
      <w:r>
        <w:t xml:space="preserve">This scaffold is based on OECD’s official AI Principles and related OECD work on trustworthy AI, including sector guidance for education and implementation tools. India is also an OECD key partner, making the framework relevant for Indian higher education faculty development.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2026-07-13T05:03:53Z</dcterms:created>
  <dcterms:modified xsi:type="dcterms:W3CDTF">2026-07-13T05:03:53Z</dcterms:modified>
</cp:coreProperties>
</file>

<file path=docProps/custom.xml><?xml version="1.0" encoding="utf-8"?>
<Properties xmlns="http://schemas.openxmlformats.org/officeDocument/2006/custom-properties" xmlns:vt="http://schemas.openxmlformats.org/officeDocument/2006/docPropsVTypes"/>
</file>