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B3FD6"/>
          <w:sz w:val="104"/>
        </w:rPr>
        <w:t>Glance</w:t>
      </w:r>
    </w:p>
    <w:p>
      <w:pPr>
        <w:jc w:val="center"/>
      </w:pPr>
      <w:r>
        <w:rPr>
          <w:i/>
          <w:color w:val="555560"/>
          <w:sz w:val="26"/>
        </w:rPr>
        <w:t>The calm, AI-curated heads-up layer for live creators</w:t>
      </w:r>
    </w:p>
    <w:p/>
    <w:p/>
    <w:p>
      <w:pPr>
        <w:jc w:val="center"/>
      </w:pPr>
      <w:r>
        <w:rPr>
          <w:b/>
          <w:color w:val="23232B"/>
          <w:sz w:val="40"/>
        </w:rPr>
        <w:t>Business Plan &amp; Go-to-Market Strategy</w:t>
      </w:r>
    </w:p>
    <w:p/>
    <w:p/>
    <w:p/>
    <w:p/>
    <w:p/>
    <w:p/>
    <w:p/>
    <w:p/>
    <w:p>
      <w:pPr>
        <w:jc w:val="center"/>
      </w:pPr>
      <w:r>
        <w:rPr>
          <w:color w:val="555560"/>
          <w:sz w:val="22"/>
        </w:rPr>
        <w:t>June 2026</w:t>
      </w:r>
    </w:p>
    <w:p>
      <w:pPr>
        <w:jc w:val="center"/>
      </w:pPr>
      <w:r>
        <w:rPr>
          <w:color w:val="555560"/>
          <w:sz w:val="22"/>
        </w:rPr>
        <w:t>Private &amp; Confidential</w:t>
      </w:r>
    </w:p>
    <w:p>
      <w:pPr>
        <w:jc w:val="center"/>
      </w:pPr>
      <w:r>
        <w:rPr>
          <w:color w:val="555560"/>
          <w:sz w:val="20"/>
        </w:rPr>
        <w:t>Glance — a UK company · all figures in GBP (£)</w:t>
      </w:r>
    </w:p>
    <w:p>
      <w:r>
        <w:br w:type="page"/>
      </w:r>
    </w:p>
    <w:p>
      <w:pPr>
        <w:pStyle w:val="Heading1"/>
      </w:pPr>
      <w:r>
        <w:t>Contents</w:t>
      </w:r>
    </w:p>
    <w:p>
      <w:r>
        <w:fldChar w:fldCharType="begin"/>
        <w:instrText xml:space="preserve">TOC \o "1-1" \h \z \u</w:instrText>
        <w:fldChar w:fldCharType="separate"/>
        <w:t>Right-click → Update Field to build the table of contents.</w:t>
        <w:fldChar w:fldCharType="end"/>
      </w:r>
    </w:p>
    <w:p>
      <w:r>
        <w:br w:type="page"/>
      </w:r>
    </w:p>
    <w:p>
      <w:pPr>
        <w:pStyle w:val="Heading1"/>
      </w:pPr>
      <w:r>
        <w:t>1. Executive Summary</w:t>
      </w:r>
    </w:p>
    <w:p>
      <w:r>
        <w:rPr>
          <w:i w:val="0"/>
        </w:rPr>
        <w:t>Glance is the calm, AI-curated heads-up layer for live creators. It reads a streamer’s chat in real time, decides what actually matters — donations, questions, raids, rising topics, the moment to step in — and surfaces just those, on a glanceable overlay, in an earbud, on a phone companion, or on smart glasses. Instead of a firehose the creator cannot read, Glance delivers a quiet stream of “what matters right now,” hands-free.</w:t>
      </w:r>
    </w:p>
    <w:p>
      <w:r>
        <w:rPr>
          <w:i w:val="0"/>
        </w:rPr>
        <w:t>The product is built and launch-ready: a multi-tenant platform with a salience engine (the moat), live adapters for Twitch, YouTube and Kick, unified multi-channel chat that merges simultaneous platforms into one ranked feed, voice commands, real Twitch clip creation, a phone-companion app with background push, team seats with per-member logins, Stripe billing, and an independently audited backend. It deploys on a managed stack for £0–20 per month to start.</w:t>
      </w:r>
    </w:p>
    <w:p>
      <w:r>
        <w:rPr>
          <w:i w:val="0"/>
        </w:rPr>
        <w:t>Glance is bootstrapped — no external funding required. Fixed costs are low, gross margins are healthy (~70–75%), and break-even is roughly 5–10 paying creators. This plan sizes the opportunity, positions Glance against incumbents, sets out a full financial model, and details a research-backed go-to-market and marketing strategy built around creator partnerships, community and a product that demonstrates itself in a single clip.</w:t>
      </w:r>
    </w:p>
    <w:p>
      <w:pPr>
        <w:pStyle w:val="Heading1"/>
      </w:pPr>
      <w:r>
        <w:t>2. The Product</w:t>
      </w:r>
    </w:p>
    <w:p>
      <w:r>
        <w:rPr>
          <w:i w:val="0"/>
        </w:rPr>
        <w:t>Glance is not another overlay, alert or chatbot tool. It is an attention layer: a salience engine that scores every message and event, then routes only the high-signal moments to whatever surface the creator is using.</w:t>
      </w:r>
    </w:p>
    <w:p>
      <w:pPr>
        <w:pStyle w:val="ListBullet"/>
        <w:spacing w:after="60"/>
      </w:pPr>
      <w:r>
        <w:rPr>
          <w:b/>
        </w:rPr>
        <w:t xml:space="preserve">Salience engine (the moat) — </w:t>
      </w:r>
      <w:r>
        <w:t>deterministic, explainable scoring of donations, mentions, questions, keywords, trends, sentiment and moderation risk, with periodic AI summaries and priority re-ranking off the critical path. Proven at precision 1.0 / recall 1.0 on adversarial test scenarios.</w:t>
      </w:r>
    </w:p>
    <w:p>
      <w:pPr>
        <w:pStyle w:val="ListBullet"/>
        <w:spacing w:after="60"/>
      </w:pPr>
      <w:r>
        <w:rPr>
          <w:b/>
        </w:rPr>
        <w:t xml:space="preserve">Render targets — </w:t>
      </w:r>
      <w:r>
        <w:t>a browser HUD overlay, an audio/earbud mode (spoken callouts + earcons), a phone-companion app (works with just a phone and earbuds — the no-glasses path), background Web Push to phones and wearables, and a documented Apple Watch model. Smart glasses are the flagship surface, not the requirement.</w:t>
      </w:r>
    </w:p>
    <w:p>
      <w:pPr>
        <w:pStyle w:val="ListBullet"/>
        <w:spacing w:after="60"/>
      </w:pPr>
      <w:r>
        <w:rPr>
          <w:b/>
        </w:rPr>
        <w:t xml:space="preserve">Unified multi-channel chat — </w:t>
      </w:r>
      <w:r>
        <w:t>go live on Twitch, YouTube and Kick at once; Glance merges every chat into one salience-ranked feed with per-message source badges and summed viewer counts.</w:t>
      </w:r>
    </w:p>
    <w:p>
      <w:pPr>
        <w:pStyle w:val="ListBullet"/>
        <w:spacing w:after="60"/>
      </w:pPr>
      <w:r>
        <w:rPr>
          <w:b/>
        </w:rPr>
        <w:t xml:space="preserve">Voice (“Ask Glance”) — </w:t>
      </w:r>
      <w:r>
        <w:t>hands-free: “any donations?”, “what should I answer?”, “clip that” (creates a real Twitch clip), “what’s the vibe?”.</w:t>
      </w:r>
    </w:p>
    <w:p>
      <w:pPr>
        <w:pStyle w:val="ListBullet"/>
        <w:spacing w:after="60"/>
      </w:pPr>
      <w:r>
        <w:rPr>
          <w:b/>
        </w:rPr>
        <w:t xml:space="preserve">Teams — </w:t>
      </w:r>
      <w:r>
        <w:t>multi-seat accounts with roles (owner / admin / member) and revocable per-member logins, so a manager, editor and moderator can share one creator’s cockpit.</w:t>
      </w:r>
    </w:p>
    <w:p>
      <w:pPr>
        <w:pStyle w:val="Heading1"/>
      </w:pPr>
      <w:r>
        <w:t>3. The Problem (validated)</w:t>
      </w:r>
    </w:p>
    <w:p>
      <w:r>
        <w:rPr>
          <w:i w:val="0"/>
        </w:rPr>
        <w:t>Live chat is a firehose, and missing it costs creators their community. Industry guidance is blunt about the pain: streamers “struggle to keep up with chat, resulting in missed messages, awkward pauses, and viewers feeling ignored,” and the single most-recommended upgrade for a new streamer is a second monitor just to see chat. The common workaround — text-to-speech reading every message — “can get overwhelming” and is advised only for occasional moments.</w:t>
      </w:r>
    </w:p>
    <w:p>
      <w:r>
        <w:rPr>
          <w:i w:val="0"/>
        </w:rPr>
        <w:t>The structural reality: more than half of streamers broadcast to fewer than five concurrent viewers, while the top 1% dominate. Small creators are desperate to catch every message and build community; large creators are drowning in volume and miss the moments that matter. Glance serves both ends of the curve — surfacing everything that matters for the small creator, and only what matters for the large one. No incumbent solves attention; they add more overlays to an already-crowded screen.</w:t>
      </w:r>
    </w:p>
    <w:p>
      <w:pPr>
        <w:pStyle w:val="Heading1"/>
      </w:pPr>
      <w:r>
        <w:t>4. Market Opportunity</w:t>
      </w:r>
    </w:p>
    <w:p>
      <w:r>
        <w:rPr>
          <w:i w:val="0"/>
        </w:rPr>
        <w:t>The creator economy is large and compounding. Global estimates cluster around £190bn in 2025 (~$250bn), rising to ~£235–245bn in 2026, with long-run forecasts of £1.0–1.6tn by 2033–2035 (CAGR ~23–30%). Live streaming is the fastest, stickiest slice: the live-streaming software market is ~£9.4bn in 2025, heading to ~£35bn by 2032 (~20.6% CAGR), and the four major platforms logged 30bn+ hours watched in a single quarter (Q4 2025). (Source market reports are USD-denominated; converted at £1 ≈ $1.32, June 2026.)</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5B3FD6"/>
          </w:tcPr>
          <w:p>
            <w:pPr>
              <w:spacing w:after="40" w:before="40"/>
            </w:pPr>
            <w:r/>
            <w:r>
              <w:rPr>
                <w:b/>
                <w:color w:val="FFFFFF"/>
                <w:sz w:val="19"/>
              </w:rPr>
              <w:t>Platform</w:t>
            </w:r>
          </w:p>
        </w:tc>
        <w:tc>
          <w:tcPr>
            <w:tcW w:type="dxa" w:w="3744"/>
            <w:shd w:val="clear" w:color="auto" w:fill="5B3FD6"/>
          </w:tcPr>
          <w:p>
            <w:pPr>
              <w:spacing w:after="40" w:before="40"/>
            </w:pPr>
            <w:r/>
            <w:r>
              <w:rPr>
                <w:b/>
                <w:color w:val="FFFFFF"/>
                <w:sz w:val="19"/>
              </w:rPr>
              <w:t>2025 position</w:t>
            </w:r>
          </w:p>
        </w:tc>
        <w:tc>
          <w:tcPr>
            <w:tcW w:type="dxa" w:w="4896"/>
            <w:shd w:val="clear" w:color="auto" w:fill="5B3FD6"/>
          </w:tcPr>
          <w:p>
            <w:pPr>
              <w:spacing w:after="40" w:before="40"/>
            </w:pPr>
            <w:r/>
            <w:r>
              <w:rPr>
                <w:b/>
                <w:color w:val="FFFFFF"/>
                <w:sz w:val="19"/>
              </w:rPr>
              <w:t>Scale signal</w:t>
            </w:r>
          </w:p>
        </w:tc>
      </w:tr>
      <w:tr>
        <w:tc>
          <w:tcPr>
            <w:tcW w:type="dxa" w:w="2016"/>
          </w:tcPr>
          <w:p>
            <w:pPr>
              <w:spacing w:after="40" w:before="40"/>
            </w:pPr>
            <w:r/>
            <w:r>
              <w:rPr>
                <w:b/>
                <w:sz w:val="19"/>
              </w:rPr>
              <w:t>YouTube Live</w:t>
            </w:r>
          </w:p>
        </w:tc>
        <w:tc>
          <w:tcPr>
            <w:tcW w:type="dxa" w:w="3744"/>
          </w:tcPr>
          <w:p>
            <w:pPr>
              <w:spacing w:after="40" w:before="40"/>
            </w:pPr>
            <w:r/>
            <w:r>
              <w:rPr>
                <w:b w:val="0"/>
                <w:sz w:val="19"/>
              </w:rPr>
              <w:t>#1, ~50% of watch hours</w:t>
            </w:r>
          </w:p>
        </w:tc>
        <w:tc>
          <w:tcPr>
            <w:tcW w:type="dxa" w:w="4896"/>
          </w:tcPr>
          <w:p>
            <w:pPr>
              <w:spacing w:after="40" w:before="40"/>
            </w:pPr>
            <w:r/>
            <w:r>
              <w:rPr>
                <w:b w:val="0"/>
                <w:sz w:val="19"/>
              </w:rPr>
              <w:t>~56bn hours watched in 2025</w:t>
            </w:r>
          </w:p>
        </w:tc>
      </w:tr>
      <w:tr>
        <w:tc>
          <w:tcPr>
            <w:tcW w:type="dxa" w:w="2016"/>
            <w:shd w:val="clear" w:color="auto" w:fill="F2EFFC"/>
          </w:tcPr>
          <w:p>
            <w:pPr>
              <w:spacing w:after="40" w:before="40"/>
            </w:pPr>
            <w:r/>
            <w:r>
              <w:rPr>
                <w:b/>
                <w:sz w:val="19"/>
              </w:rPr>
              <w:t>TikTok Live</w:t>
            </w:r>
          </w:p>
        </w:tc>
        <w:tc>
          <w:tcPr>
            <w:tcW w:type="dxa" w:w="3744"/>
            <w:shd w:val="clear" w:color="auto" w:fill="F2EFFC"/>
          </w:tcPr>
          <w:p>
            <w:pPr>
              <w:spacing w:after="40" w:before="40"/>
            </w:pPr>
            <w:r/>
            <w:r>
              <w:rPr>
                <w:b w:val="0"/>
                <w:sz w:val="19"/>
              </w:rPr>
              <w:t>#2, 27–31% share</w:t>
            </w:r>
          </w:p>
        </w:tc>
        <w:tc>
          <w:tcPr>
            <w:tcW w:type="dxa" w:w="4896"/>
            <w:shd w:val="clear" w:color="auto" w:fill="F2EFFC"/>
          </w:tcPr>
          <w:p>
            <w:pPr>
              <w:spacing w:after="40" w:before="40"/>
            </w:pPr>
            <w:r/>
            <w:r>
              <w:rPr>
                <w:b w:val="0"/>
                <w:sz w:val="19"/>
              </w:rPr>
              <w:t>8bn+ hours/quarter; passed Twitch in Q1 2025</w:t>
            </w:r>
          </w:p>
        </w:tc>
      </w:tr>
      <w:tr>
        <w:tc>
          <w:tcPr>
            <w:tcW w:type="dxa" w:w="2016"/>
          </w:tcPr>
          <w:p>
            <w:pPr>
              <w:spacing w:after="40" w:before="40"/>
            </w:pPr>
            <w:r/>
            <w:r>
              <w:rPr>
                <w:b/>
                <w:sz w:val="19"/>
              </w:rPr>
              <w:t>Twitch</w:t>
            </w:r>
          </w:p>
        </w:tc>
        <w:tc>
          <w:tcPr>
            <w:tcW w:type="dxa" w:w="3744"/>
          </w:tcPr>
          <w:p>
            <w:pPr>
              <w:spacing w:after="40" w:before="40"/>
            </w:pPr>
            <w:r/>
            <w:r>
              <w:rPr>
                <w:b w:val="0"/>
                <w:sz w:val="19"/>
              </w:rPr>
              <w:t>#3, gaming/esports leader (~16%)</w:t>
            </w:r>
          </w:p>
        </w:tc>
        <w:tc>
          <w:tcPr>
            <w:tcW w:type="dxa" w:w="4896"/>
          </w:tcPr>
          <w:p>
            <w:pPr>
              <w:spacing w:after="40" w:before="40"/>
            </w:pPr>
            <w:r/>
            <w:r>
              <w:rPr>
                <w:b w:val="0"/>
                <w:sz w:val="19"/>
              </w:rPr>
              <w:t>11.4m monthly streamers; ~2.1m avg concurrent</w:t>
            </w:r>
          </w:p>
        </w:tc>
      </w:tr>
      <w:tr>
        <w:tc>
          <w:tcPr>
            <w:tcW w:type="dxa" w:w="2016"/>
            <w:shd w:val="clear" w:color="auto" w:fill="F2EFFC"/>
          </w:tcPr>
          <w:p>
            <w:pPr>
              <w:spacing w:after="40" w:before="40"/>
            </w:pPr>
            <w:r/>
            <w:r>
              <w:rPr>
                <w:b/>
                <w:sz w:val="19"/>
              </w:rPr>
              <w:t>Kick</w:t>
            </w:r>
          </w:p>
        </w:tc>
        <w:tc>
          <w:tcPr>
            <w:tcW w:type="dxa" w:w="3744"/>
            <w:shd w:val="clear" w:color="auto" w:fill="F2EFFC"/>
          </w:tcPr>
          <w:p>
            <w:pPr>
              <w:spacing w:after="40" w:before="40"/>
            </w:pPr>
            <w:r/>
            <w:r>
              <w:rPr>
                <w:b w:val="0"/>
                <w:sz w:val="19"/>
              </w:rPr>
              <w:t>Fastest-growing, ~11%</w:t>
            </w:r>
          </w:p>
        </w:tc>
        <w:tc>
          <w:tcPr>
            <w:tcW w:type="dxa" w:w="4896"/>
            <w:shd w:val="clear" w:color="auto" w:fill="F2EFFC"/>
          </w:tcPr>
          <w:p>
            <w:pPr>
              <w:spacing w:after="40" w:before="40"/>
            </w:pPr>
            <w:r/>
            <w:r>
              <w:rPr>
                <w:b w:val="0"/>
                <w:sz w:val="19"/>
              </w:rPr>
              <w:t>4.5bn hours (+131% YoY); strong in Spanish markets</w:t>
            </w:r>
          </w:p>
        </w:tc>
      </w:tr>
    </w:tbl>
    <w:p/>
    <w:p>
      <w:r>
        <w:rPr>
          <w:i w:val="0"/>
        </w:rPr>
        <w:t>The glasses tailwind is real and early: Meta/EssilorLuxottica sold 7m+ AI glasses in 2025 — roughly tripling the prior two years combined — at ~73% market share, and Ray-Ban Display glasses launched at ~£605 ($799). Glance is platform-agnostic today (phone / earbud / overlay) and positioned to ride glasses adoption as the killer heads-up surface arrives.</w:t>
      </w:r>
    </w:p>
    <w:p>
      <w:r>
        <w:rPr>
          <w:i w:val="0"/>
        </w:rPr>
        <w:t>Bottom-up sizing: with 2.4m+ weekly Twitch streamers alone — before YouTube, Kick and TikTok — the serviceable base of serious, recurring streamers is in the low millions. At our blended paid ARPU (~£20/month), capturing 50,000 paying creators is ~£12m ARR; 250,000 is ~£60m ARR. A narrow wedge, a large ceiling.</w:t>
      </w:r>
    </w:p>
    <w:p>
      <w:pPr>
        <w:pStyle w:val="Heading1"/>
      </w:pPr>
      <w:r>
        <w:t>5. Competitive Landscape</w:t>
      </w:r>
    </w:p>
    <w:p>
      <w:r>
        <w:rPr>
          <w:i w:val="0"/>
        </w:rPr>
        <w:t>The creator-tool market is crowded with overlay / alert / donation suites — but none is an attention layer, and none targets the heads-up, audio or glasses surface.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5B3FD6"/>
          </w:tcPr>
          <w:p>
            <w:pPr>
              <w:spacing w:after="40" w:before="40"/>
            </w:pPr>
            <w:r/>
            <w:r>
              <w:rPr>
                <w:b/>
                <w:color w:val="FFFFFF"/>
                <w:sz w:val="19"/>
              </w:rPr>
              <w:t>Capability</w:t>
            </w:r>
          </w:p>
        </w:tc>
        <w:tc>
          <w:tcPr>
            <w:tcW w:type="dxa" w:w="2736"/>
            <w:shd w:val="clear" w:color="auto" w:fill="5B3FD6"/>
          </w:tcPr>
          <w:p>
            <w:pPr>
              <w:spacing w:after="40" w:before="40"/>
            </w:pPr>
            <w:r/>
            <w:r>
              <w:rPr>
                <w:b/>
                <w:color w:val="FFFFFF"/>
                <w:sz w:val="19"/>
              </w:rPr>
              <w:t>Glance</w:t>
            </w:r>
          </w:p>
        </w:tc>
        <w:tc>
          <w:tcPr>
            <w:tcW w:type="dxa" w:w="2592"/>
            <w:shd w:val="clear" w:color="auto" w:fill="5B3FD6"/>
          </w:tcPr>
          <w:p>
            <w:pPr>
              <w:spacing w:after="40" w:before="40"/>
            </w:pPr>
            <w:r/>
            <w:r>
              <w:rPr>
                <w:b/>
                <w:color w:val="FFFFFF"/>
                <w:sz w:val="19"/>
              </w:rPr>
              <w:t>StreamElements</w:t>
            </w:r>
          </w:p>
        </w:tc>
        <w:tc>
          <w:tcPr>
            <w:tcW w:type="dxa" w:w="2448"/>
            <w:shd w:val="clear" w:color="auto" w:fill="5B3FD6"/>
          </w:tcPr>
          <w:p>
            <w:pPr>
              <w:spacing w:after="40" w:before="40"/>
            </w:pPr>
            <w:r/>
            <w:r>
              <w:rPr>
                <w:b/>
                <w:color w:val="FFFFFF"/>
                <w:sz w:val="19"/>
              </w:rPr>
              <w:t>Streamlabs</w:t>
            </w:r>
          </w:p>
        </w:tc>
      </w:tr>
      <w:tr>
        <w:tc>
          <w:tcPr>
            <w:tcW w:type="dxa" w:w="2880"/>
          </w:tcPr>
          <w:p>
            <w:pPr>
              <w:spacing w:after="40" w:before="40"/>
            </w:pPr>
            <w:r/>
            <w:r>
              <w:rPr>
                <w:b/>
                <w:sz w:val="19"/>
              </w:rPr>
              <w:t>Category</w:t>
            </w:r>
          </w:p>
        </w:tc>
        <w:tc>
          <w:tcPr>
            <w:tcW w:type="dxa" w:w="2736"/>
          </w:tcPr>
          <w:p>
            <w:pPr>
              <w:spacing w:after="40" w:before="40"/>
            </w:pPr>
            <w:r/>
            <w:r>
              <w:rPr>
                <w:b w:val="0"/>
                <w:sz w:val="19"/>
              </w:rPr>
              <w:t>AI attention layer</w:t>
            </w:r>
          </w:p>
        </w:tc>
        <w:tc>
          <w:tcPr>
            <w:tcW w:type="dxa" w:w="2592"/>
          </w:tcPr>
          <w:p>
            <w:pPr>
              <w:spacing w:after="40" w:before="40"/>
            </w:pPr>
            <w:r/>
            <w:r>
              <w:rPr>
                <w:b w:val="0"/>
                <w:sz w:val="19"/>
              </w:rPr>
              <w:t>Overlays / marketplace</w:t>
            </w:r>
          </w:p>
        </w:tc>
        <w:tc>
          <w:tcPr>
            <w:tcW w:type="dxa" w:w="2448"/>
          </w:tcPr>
          <w:p>
            <w:pPr>
              <w:spacing w:after="40" w:before="40"/>
            </w:pPr>
            <w:r/>
            <w:r>
              <w:rPr>
                <w:b w:val="0"/>
                <w:sz w:val="19"/>
              </w:rPr>
              <w:t>Overlays (OBS app)</w:t>
            </w:r>
          </w:p>
        </w:tc>
      </w:tr>
      <w:tr>
        <w:tc>
          <w:tcPr>
            <w:tcW w:type="dxa" w:w="2880"/>
            <w:shd w:val="clear" w:color="auto" w:fill="F2EFFC"/>
          </w:tcPr>
          <w:p>
            <w:pPr>
              <w:spacing w:after="40" w:before="40"/>
            </w:pPr>
            <w:r/>
            <w:r>
              <w:rPr>
                <w:b/>
                <w:sz w:val="19"/>
              </w:rPr>
              <w:t>Multi-platform merge</w:t>
            </w:r>
          </w:p>
        </w:tc>
        <w:tc>
          <w:tcPr>
            <w:tcW w:type="dxa" w:w="2736"/>
            <w:shd w:val="clear" w:color="auto" w:fill="F2EFFC"/>
          </w:tcPr>
          <w:p>
            <w:pPr>
              <w:spacing w:after="40" w:before="40"/>
            </w:pPr>
            <w:r/>
            <w:r>
              <w:rPr>
                <w:b w:val="0"/>
                <w:sz w:val="19"/>
              </w:rPr>
              <w:t>Yes (unified feed)</w:t>
            </w:r>
          </w:p>
        </w:tc>
        <w:tc>
          <w:tcPr>
            <w:tcW w:type="dxa" w:w="2592"/>
            <w:shd w:val="clear" w:color="auto" w:fill="F2EFFC"/>
          </w:tcPr>
          <w:p>
            <w:pPr>
              <w:spacing w:after="40" w:before="40"/>
            </w:pPr>
            <w:r/>
            <w:r>
              <w:rPr>
                <w:b w:val="0"/>
                <w:sz w:val="19"/>
              </w:rPr>
              <w:t>Per-platform</w:t>
            </w:r>
          </w:p>
        </w:tc>
        <w:tc>
          <w:tcPr>
            <w:tcW w:type="dxa" w:w="2448"/>
            <w:shd w:val="clear" w:color="auto" w:fill="F2EFFC"/>
          </w:tcPr>
          <w:p>
            <w:pPr>
              <w:spacing w:after="40" w:before="40"/>
            </w:pPr>
            <w:r/>
            <w:r>
              <w:rPr>
                <w:b w:val="0"/>
                <w:sz w:val="19"/>
              </w:rPr>
              <w:t>Per-platform</w:t>
            </w:r>
          </w:p>
        </w:tc>
      </w:tr>
      <w:tr>
        <w:tc>
          <w:tcPr>
            <w:tcW w:type="dxa" w:w="2880"/>
          </w:tcPr>
          <w:p>
            <w:pPr>
              <w:spacing w:after="40" w:before="40"/>
            </w:pPr>
            <w:r/>
            <w:r>
              <w:rPr>
                <w:b/>
                <w:sz w:val="19"/>
              </w:rPr>
              <w:t>Audio / earbud / glasses</w:t>
            </w:r>
          </w:p>
        </w:tc>
        <w:tc>
          <w:tcPr>
            <w:tcW w:type="dxa" w:w="2736"/>
          </w:tcPr>
          <w:p>
            <w:pPr>
              <w:spacing w:after="40" w:before="40"/>
            </w:pPr>
            <w:r/>
            <w:r>
              <w:rPr>
                <w:b w:val="0"/>
                <w:sz w:val="19"/>
              </w:rPr>
              <w:t>Yes</w:t>
            </w:r>
          </w:p>
        </w:tc>
        <w:tc>
          <w:tcPr>
            <w:tcW w:type="dxa" w:w="2592"/>
          </w:tcPr>
          <w:p>
            <w:pPr>
              <w:spacing w:after="40" w:before="40"/>
            </w:pPr>
            <w:r/>
            <w:r>
              <w:rPr>
                <w:b w:val="0"/>
                <w:sz w:val="19"/>
              </w:rPr>
              <w:t>No</w:t>
            </w:r>
          </w:p>
        </w:tc>
        <w:tc>
          <w:tcPr>
            <w:tcW w:type="dxa" w:w="2448"/>
          </w:tcPr>
          <w:p>
            <w:pPr>
              <w:spacing w:after="40" w:before="40"/>
            </w:pPr>
            <w:r/>
            <w:r>
              <w:rPr>
                <w:b w:val="0"/>
                <w:sz w:val="19"/>
              </w:rPr>
              <w:t>No</w:t>
            </w:r>
          </w:p>
        </w:tc>
      </w:tr>
      <w:tr>
        <w:tc>
          <w:tcPr>
            <w:tcW w:type="dxa" w:w="2880"/>
            <w:shd w:val="clear" w:color="auto" w:fill="F2EFFC"/>
          </w:tcPr>
          <w:p>
            <w:pPr>
              <w:spacing w:after="40" w:before="40"/>
            </w:pPr>
            <w:r/>
            <w:r>
              <w:rPr>
                <w:b/>
                <w:sz w:val="19"/>
              </w:rPr>
              <w:t>AI salience / priority</w:t>
            </w:r>
          </w:p>
        </w:tc>
        <w:tc>
          <w:tcPr>
            <w:tcW w:type="dxa" w:w="2736"/>
            <w:shd w:val="clear" w:color="auto" w:fill="F2EFFC"/>
          </w:tcPr>
          <w:p>
            <w:pPr>
              <w:spacing w:after="40" w:before="40"/>
            </w:pPr>
            <w:r/>
            <w:r>
              <w:rPr>
                <w:b w:val="0"/>
                <w:sz w:val="19"/>
              </w:rPr>
              <w:t>Yes (the moat)</w:t>
            </w:r>
          </w:p>
        </w:tc>
        <w:tc>
          <w:tcPr>
            <w:tcW w:type="dxa" w:w="2592"/>
            <w:shd w:val="clear" w:color="auto" w:fill="F2EFFC"/>
          </w:tcPr>
          <w:p>
            <w:pPr>
              <w:spacing w:after="40" w:before="40"/>
            </w:pPr>
            <w:r/>
            <w:r>
              <w:rPr>
                <w:b w:val="0"/>
                <w:sz w:val="19"/>
              </w:rPr>
              <w:t>No</w:t>
            </w:r>
          </w:p>
        </w:tc>
        <w:tc>
          <w:tcPr>
            <w:tcW w:type="dxa" w:w="2448"/>
            <w:shd w:val="clear" w:color="auto" w:fill="F2EFFC"/>
          </w:tcPr>
          <w:p>
            <w:pPr>
              <w:spacing w:after="40" w:before="40"/>
            </w:pPr>
            <w:r/>
            <w:r>
              <w:rPr>
                <w:b w:val="0"/>
                <w:sz w:val="19"/>
              </w:rPr>
              <w:t>Limited</w:t>
            </w:r>
          </w:p>
        </w:tc>
      </w:tr>
      <w:tr>
        <w:tc>
          <w:tcPr>
            <w:tcW w:type="dxa" w:w="2880"/>
          </w:tcPr>
          <w:p>
            <w:pPr>
              <w:spacing w:after="40" w:before="40"/>
            </w:pPr>
            <w:r/>
            <w:r>
              <w:rPr>
                <w:b/>
                <w:sz w:val="19"/>
              </w:rPr>
              <w:t>Pricing</w:t>
            </w:r>
          </w:p>
        </w:tc>
        <w:tc>
          <w:tcPr>
            <w:tcW w:type="dxa" w:w="2736"/>
          </w:tcPr>
          <w:p>
            <w:pPr>
              <w:spacing w:after="40" w:before="40"/>
            </w:pPr>
            <w:r/>
            <w:r>
              <w:rPr>
                <w:b w:val="0"/>
                <w:sz w:val="19"/>
              </w:rPr>
              <w:t>£0 / £15 / £39</w:t>
            </w:r>
          </w:p>
        </w:tc>
        <w:tc>
          <w:tcPr>
            <w:tcW w:type="dxa" w:w="2592"/>
          </w:tcPr>
          <w:p>
            <w:pPr>
              <w:spacing w:after="40" w:before="40"/>
            </w:pPr>
            <w:r/>
            <w:r>
              <w:rPr>
                <w:b w:val="0"/>
                <w:sz w:val="19"/>
              </w:rPr>
              <w:t>Free (marketplace cut)</w:t>
            </w:r>
          </w:p>
        </w:tc>
        <w:tc>
          <w:tcPr>
            <w:tcW w:type="dxa" w:w="2448"/>
          </w:tcPr>
          <w:p>
            <w:pPr>
              <w:spacing w:after="40" w:before="40"/>
            </w:pPr>
            <w:r/>
            <w:r>
              <w:rPr>
                <w:b w:val="0"/>
                <w:sz w:val="19"/>
              </w:rPr>
              <w:t>Free + ~£20/mo Ultra</w:t>
            </w:r>
          </w:p>
        </w:tc>
      </w:tr>
    </w:tbl>
    <w:p/>
    <w:p>
      <w:r>
        <w:rPr>
          <w:i w:val="0"/>
        </w:rPr>
        <w:t>Why we win: incumbents add pixels to a screen the creator already cannot watch; Glance removes the screen and tells them what matters. The salience engine, multi-platform merge and hands-free surfaces are defensible and not on incumbents’ roadmaps. Why they are a threat: distribution (StreamElements has 1.1m+ creators) and “free.” We counter with a generous free tier, a wedge they do not serve, and a product that demos itself in a 15-second clip.</w:t>
      </w:r>
    </w:p>
    <w:p>
      <w:pPr>
        <w:pStyle w:val="Heading1"/>
      </w:pPr>
      <w:r>
        <w:t>6. Business Model &amp; Pricing</w:t>
      </w:r>
    </w:p>
    <w:p>
      <w:r>
        <w:rPr>
          <w:i w:val="0"/>
        </w:rPr>
        <w:t>Freemium SaaS with three tiers, gated primarily by an AI usage cap (the real cost lever) plus scale, brand and team features. Annual billing (two months free) drives prepayment and reduces churn.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color="auto" w:fill="5B3FD6"/>
          </w:tcPr>
          <w:p>
            <w:pPr>
              <w:spacing w:after="40" w:before="40"/>
            </w:pPr>
            <w:r/>
            <w:r>
              <w:rPr>
                <w:b/>
                <w:color w:val="FFFFFF"/>
                <w:sz w:val="19"/>
              </w:rPr>
              <w:t>Feature</w:t>
            </w:r>
          </w:p>
        </w:tc>
        <w:tc>
          <w:tcPr>
            <w:tcW w:type="dxa" w:w="2448"/>
            <w:shd w:val="clear" w:color="auto" w:fill="5B3FD6"/>
          </w:tcPr>
          <w:p>
            <w:pPr>
              <w:spacing w:after="40" w:before="40"/>
            </w:pPr>
            <w:r/>
            <w:r>
              <w:rPr>
                <w:b/>
                <w:color w:val="FFFFFF"/>
                <w:sz w:val="19"/>
              </w:rPr>
              <w:t>Free — £0</w:t>
            </w:r>
          </w:p>
        </w:tc>
        <w:tc>
          <w:tcPr>
            <w:tcW w:type="dxa" w:w="2448"/>
            <w:shd w:val="clear" w:color="auto" w:fill="5B3FD6"/>
          </w:tcPr>
          <w:p>
            <w:pPr>
              <w:spacing w:after="40" w:before="40"/>
            </w:pPr>
            <w:r/>
            <w:r>
              <w:rPr>
                <w:b/>
                <w:color w:val="FFFFFF"/>
                <w:sz w:val="19"/>
              </w:rPr>
              <w:t>Creator — £15/mo</w:t>
            </w:r>
          </w:p>
        </w:tc>
        <w:tc>
          <w:tcPr>
            <w:tcW w:type="dxa" w:w="2448"/>
            <w:shd w:val="clear" w:color="auto" w:fill="5B3FD6"/>
          </w:tcPr>
          <w:p>
            <w:pPr>
              <w:spacing w:after="40" w:before="40"/>
            </w:pPr>
            <w:r/>
            <w:r>
              <w:rPr>
                <w:b/>
                <w:color w:val="FFFFFF"/>
                <w:sz w:val="19"/>
              </w:rPr>
              <w:t>Pro — £39/mo</w:t>
            </w:r>
          </w:p>
        </w:tc>
      </w:tr>
      <w:tr>
        <w:tc>
          <w:tcPr>
            <w:tcW w:type="dxa" w:w="3744"/>
          </w:tcPr>
          <w:p>
            <w:pPr>
              <w:spacing w:after="40" w:before="40"/>
            </w:pPr>
            <w:r/>
            <w:r>
              <w:rPr>
                <w:b/>
                <w:sz w:val="19"/>
              </w:rPr>
              <w:t>Salience engine, 1 platform</w:t>
            </w:r>
          </w:p>
        </w:tc>
        <w:tc>
          <w:tcPr>
            <w:tcW w:type="dxa" w:w="2448"/>
          </w:tcPr>
          <w:p>
            <w:pPr>
              <w:spacing w:after="40" w:before="40"/>
            </w:pPr>
            <w:r/>
            <w:r>
              <w:rPr>
                <w:b w:val="0"/>
                <w:sz w:val="19"/>
              </w:rPr>
              <w:t>Yes</w:t>
            </w:r>
          </w:p>
        </w:tc>
        <w:tc>
          <w:tcPr>
            <w:tcW w:type="dxa" w:w="2448"/>
          </w:tcPr>
          <w:p>
            <w:pPr>
              <w:spacing w:after="40" w:before="40"/>
            </w:pPr>
            <w:r/>
            <w:r>
              <w:rPr>
                <w:b w:val="0"/>
                <w:sz w:val="19"/>
              </w:rPr>
              <w:t>Yes</w:t>
            </w:r>
          </w:p>
        </w:tc>
        <w:tc>
          <w:tcPr>
            <w:tcW w:type="dxa" w:w="2448"/>
          </w:tcPr>
          <w:p>
            <w:pPr>
              <w:spacing w:after="40" w:before="40"/>
            </w:pPr>
            <w:r/>
            <w:r>
              <w:rPr>
                <w:b w:val="0"/>
                <w:sz w:val="19"/>
              </w:rPr>
              <w:t>Yes</w:t>
            </w:r>
          </w:p>
        </w:tc>
      </w:tr>
      <w:tr>
        <w:tc>
          <w:tcPr>
            <w:tcW w:type="dxa" w:w="3744"/>
            <w:shd w:val="clear" w:color="auto" w:fill="F2EFFC"/>
          </w:tcPr>
          <w:p>
            <w:pPr>
              <w:spacing w:after="40" w:before="40"/>
            </w:pPr>
            <w:r/>
            <w:r>
              <w:rPr>
                <w:b/>
                <w:sz w:val="19"/>
              </w:rPr>
              <w:t>AI calls / day</w:t>
            </w:r>
          </w:p>
        </w:tc>
        <w:tc>
          <w:tcPr>
            <w:tcW w:type="dxa" w:w="2448"/>
            <w:shd w:val="clear" w:color="auto" w:fill="F2EFFC"/>
          </w:tcPr>
          <w:p>
            <w:pPr>
              <w:spacing w:after="40" w:before="40"/>
            </w:pPr>
            <w:r/>
            <w:r>
              <w:rPr>
                <w:b w:val="0"/>
                <w:sz w:val="19"/>
              </w:rPr>
              <w:t>500 (rules-first)</w:t>
            </w:r>
          </w:p>
        </w:tc>
        <w:tc>
          <w:tcPr>
            <w:tcW w:type="dxa" w:w="2448"/>
            <w:shd w:val="clear" w:color="auto" w:fill="F2EFFC"/>
          </w:tcPr>
          <w:p>
            <w:pPr>
              <w:spacing w:after="40" w:before="40"/>
            </w:pPr>
            <w:r/>
            <w:r>
              <w:rPr>
                <w:b w:val="0"/>
                <w:sz w:val="19"/>
              </w:rPr>
              <w:t>10,000</w:t>
            </w:r>
          </w:p>
        </w:tc>
        <w:tc>
          <w:tcPr>
            <w:tcW w:type="dxa" w:w="2448"/>
            <w:shd w:val="clear" w:color="auto" w:fill="F2EFFC"/>
          </w:tcPr>
          <w:p>
            <w:pPr>
              <w:spacing w:after="40" w:before="40"/>
            </w:pPr>
            <w:r/>
            <w:r>
              <w:rPr>
                <w:b w:val="0"/>
                <w:sz w:val="19"/>
              </w:rPr>
              <w:t>200,000</w:t>
            </w:r>
          </w:p>
        </w:tc>
      </w:tr>
      <w:tr>
        <w:tc>
          <w:tcPr>
            <w:tcW w:type="dxa" w:w="3744"/>
          </w:tcPr>
          <w:p>
            <w:pPr>
              <w:spacing w:after="40" w:before="40"/>
            </w:pPr>
            <w:r/>
            <w:r>
              <w:rPr>
                <w:b/>
                <w:sz w:val="19"/>
              </w:rPr>
              <w:t>Audio / voice / “Ask Glance”</w:t>
            </w:r>
          </w:p>
        </w:tc>
        <w:tc>
          <w:tcPr>
            <w:tcW w:type="dxa" w:w="2448"/>
          </w:tcPr>
          <w:p>
            <w:pPr>
              <w:spacing w:after="40" w:before="40"/>
            </w:pPr>
            <w:r/>
            <w:r>
              <w:rPr>
                <w:b w:val="0"/>
                <w:sz w:val="19"/>
              </w:rPr>
              <w:t>—</w:t>
            </w:r>
          </w:p>
        </w:tc>
        <w:tc>
          <w:tcPr>
            <w:tcW w:type="dxa" w:w="2448"/>
          </w:tcPr>
          <w:p>
            <w:pPr>
              <w:spacing w:after="40" w:before="40"/>
            </w:pPr>
            <w:r/>
            <w:r>
              <w:rPr>
                <w:b w:val="0"/>
                <w:sz w:val="19"/>
              </w:rPr>
              <w:t>Yes</w:t>
            </w:r>
          </w:p>
        </w:tc>
        <w:tc>
          <w:tcPr>
            <w:tcW w:type="dxa" w:w="2448"/>
          </w:tcPr>
          <w:p>
            <w:pPr>
              <w:spacing w:after="40" w:before="40"/>
            </w:pPr>
            <w:r/>
            <w:r>
              <w:rPr>
                <w:b w:val="0"/>
                <w:sz w:val="19"/>
              </w:rPr>
              <w:t>Yes</w:t>
            </w:r>
          </w:p>
        </w:tc>
      </w:tr>
      <w:tr>
        <w:tc>
          <w:tcPr>
            <w:tcW w:type="dxa" w:w="3744"/>
            <w:shd w:val="clear" w:color="auto" w:fill="F2EFFC"/>
          </w:tcPr>
          <w:p>
            <w:pPr>
              <w:spacing w:after="40" w:before="40"/>
            </w:pPr>
            <w:r/>
            <w:r>
              <w:rPr>
                <w:b/>
                <w:sz w:val="19"/>
              </w:rPr>
              <w:t>Multi-platform merge</w:t>
            </w:r>
          </w:p>
        </w:tc>
        <w:tc>
          <w:tcPr>
            <w:tcW w:type="dxa" w:w="2448"/>
            <w:shd w:val="clear" w:color="auto" w:fill="F2EFFC"/>
          </w:tcPr>
          <w:p>
            <w:pPr>
              <w:spacing w:after="40" w:before="40"/>
            </w:pPr>
            <w:r/>
            <w:r>
              <w:rPr>
                <w:b w:val="0"/>
                <w:sz w:val="19"/>
              </w:rPr>
              <w:t>—</w:t>
            </w:r>
          </w:p>
        </w:tc>
        <w:tc>
          <w:tcPr>
            <w:tcW w:type="dxa" w:w="2448"/>
            <w:shd w:val="clear" w:color="auto" w:fill="F2EFFC"/>
          </w:tcPr>
          <w:p>
            <w:pPr>
              <w:spacing w:after="40" w:before="40"/>
            </w:pPr>
            <w:r/>
            <w:r>
              <w:rPr>
                <w:b w:val="0"/>
                <w:sz w:val="19"/>
              </w:rPr>
              <w:t>Yes</w:t>
            </w:r>
          </w:p>
        </w:tc>
        <w:tc>
          <w:tcPr>
            <w:tcW w:type="dxa" w:w="2448"/>
            <w:shd w:val="clear" w:color="auto" w:fill="F2EFFC"/>
          </w:tcPr>
          <w:p>
            <w:pPr>
              <w:spacing w:after="40" w:before="40"/>
            </w:pPr>
            <w:r/>
            <w:r>
              <w:rPr>
                <w:b w:val="0"/>
                <w:sz w:val="19"/>
              </w:rPr>
              <w:t>Yes</w:t>
            </w:r>
          </w:p>
        </w:tc>
      </w:tr>
      <w:tr>
        <w:tc>
          <w:tcPr>
            <w:tcW w:type="dxa" w:w="3744"/>
          </w:tcPr>
          <w:p>
            <w:pPr>
              <w:spacing w:after="40" w:before="40"/>
            </w:pPr>
            <w:r/>
            <w:r>
              <w:rPr>
                <w:b/>
                <w:sz w:val="19"/>
              </w:rPr>
              <w:t>Moderation, analytics, branding</w:t>
            </w:r>
          </w:p>
        </w:tc>
        <w:tc>
          <w:tcPr>
            <w:tcW w:type="dxa" w:w="2448"/>
          </w:tcPr>
          <w:p>
            <w:pPr>
              <w:spacing w:after="40" w:before="40"/>
            </w:pPr>
            <w:r/>
            <w:r>
              <w:rPr>
                <w:b w:val="0"/>
                <w:sz w:val="19"/>
              </w:rPr>
              <w:t>—</w:t>
            </w:r>
          </w:p>
        </w:tc>
        <w:tc>
          <w:tcPr>
            <w:tcW w:type="dxa" w:w="2448"/>
          </w:tcPr>
          <w:p>
            <w:pPr>
              <w:spacing w:after="40" w:before="40"/>
            </w:pPr>
            <w:r/>
            <w:r>
              <w:rPr>
                <w:b w:val="0"/>
                <w:sz w:val="19"/>
              </w:rPr>
              <w:t>—</w:t>
            </w:r>
          </w:p>
        </w:tc>
        <w:tc>
          <w:tcPr>
            <w:tcW w:type="dxa" w:w="2448"/>
          </w:tcPr>
          <w:p>
            <w:pPr>
              <w:spacing w:after="40" w:before="40"/>
            </w:pPr>
            <w:r/>
            <w:r>
              <w:rPr>
                <w:b w:val="0"/>
                <w:sz w:val="19"/>
              </w:rPr>
              <w:t>Yes</w:t>
            </w:r>
          </w:p>
        </w:tc>
      </w:tr>
      <w:tr>
        <w:tc>
          <w:tcPr>
            <w:tcW w:type="dxa" w:w="3744"/>
            <w:shd w:val="clear" w:color="auto" w:fill="F2EFFC"/>
          </w:tcPr>
          <w:p>
            <w:pPr>
              <w:spacing w:after="40" w:before="40"/>
            </w:pPr>
            <w:r/>
            <w:r>
              <w:rPr>
                <w:b/>
                <w:sz w:val="19"/>
              </w:rPr>
              <w:t>Team seats / concurrent channels</w:t>
            </w:r>
          </w:p>
        </w:tc>
        <w:tc>
          <w:tcPr>
            <w:tcW w:type="dxa" w:w="2448"/>
            <w:shd w:val="clear" w:color="auto" w:fill="F2EFFC"/>
          </w:tcPr>
          <w:p>
            <w:pPr>
              <w:spacing w:after="40" w:before="40"/>
            </w:pPr>
            <w:r/>
            <w:r>
              <w:rPr>
                <w:b w:val="0"/>
                <w:sz w:val="19"/>
              </w:rPr>
              <w:t>1 / 1</w:t>
            </w:r>
          </w:p>
        </w:tc>
        <w:tc>
          <w:tcPr>
            <w:tcW w:type="dxa" w:w="2448"/>
            <w:shd w:val="clear" w:color="auto" w:fill="F2EFFC"/>
          </w:tcPr>
          <w:p>
            <w:pPr>
              <w:spacing w:after="40" w:before="40"/>
            </w:pPr>
            <w:r/>
            <w:r>
              <w:rPr>
                <w:b w:val="0"/>
                <w:sz w:val="19"/>
              </w:rPr>
              <w:t>1 / 1</w:t>
            </w:r>
          </w:p>
        </w:tc>
        <w:tc>
          <w:tcPr>
            <w:tcW w:type="dxa" w:w="2448"/>
            <w:shd w:val="clear" w:color="auto" w:fill="F2EFFC"/>
          </w:tcPr>
          <w:p>
            <w:pPr>
              <w:spacing w:after="40" w:before="40"/>
            </w:pPr>
            <w:r/>
            <w:r>
              <w:rPr>
                <w:b w:val="0"/>
                <w:sz w:val="19"/>
              </w:rPr>
              <w:t>5 / 3</w:t>
            </w:r>
          </w:p>
        </w:tc>
      </w:tr>
      <w:tr>
        <w:tc>
          <w:tcPr>
            <w:tcW w:type="dxa" w:w="3744"/>
          </w:tcPr>
          <w:p>
            <w:pPr>
              <w:spacing w:after="40" w:before="40"/>
            </w:pPr>
            <w:r/>
            <w:r>
              <w:rPr>
                <w:b/>
                <w:sz w:val="19"/>
              </w:rPr>
              <w:t>Priority support</w:t>
            </w:r>
          </w:p>
        </w:tc>
        <w:tc>
          <w:tcPr>
            <w:tcW w:type="dxa" w:w="2448"/>
          </w:tcPr>
          <w:p>
            <w:pPr>
              <w:spacing w:after="40" w:before="40"/>
            </w:pPr>
            <w:r/>
            <w:r>
              <w:rPr>
                <w:b w:val="0"/>
                <w:sz w:val="19"/>
              </w:rPr>
              <w:t>—</w:t>
            </w:r>
          </w:p>
        </w:tc>
        <w:tc>
          <w:tcPr>
            <w:tcW w:type="dxa" w:w="2448"/>
          </w:tcPr>
          <w:p>
            <w:pPr>
              <w:spacing w:after="40" w:before="40"/>
            </w:pPr>
            <w:r/>
            <w:r>
              <w:rPr>
                <w:b w:val="0"/>
                <w:sz w:val="19"/>
              </w:rPr>
              <w:t>—</w:t>
            </w:r>
          </w:p>
        </w:tc>
        <w:tc>
          <w:tcPr>
            <w:tcW w:type="dxa" w:w="2448"/>
          </w:tcPr>
          <w:p>
            <w:pPr>
              <w:spacing w:after="40" w:before="40"/>
            </w:pPr>
            <w:r/>
            <w:r>
              <w:rPr>
                <w:b w:val="0"/>
                <w:sz w:val="19"/>
              </w:rPr>
              <w:t>Yes</w:t>
            </w:r>
          </w:p>
        </w:tc>
      </w:tr>
    </w:tbl>
    <w:p/>
    <w:p>
      <w:pPr>
        <w:pStyle w:val="Heading1"/>
      </w:pPr>
      <w:r>
        <w:t>7. Financial Plan</w:t>
      </w:r>
    </w:p>
    <w:p>
      <w:r>
        <w:rPr>
          <w:i w:val="0"/>
        </w:rPr>
        <w:t>Glance is built to be capital-efficient and profitable without funding. The dominant variable cost is the AI (Claude) API; everything else is small and largely fixed. The free tier defaults to the deterministic rules engine, so free users carry near-zero marginal AI cost, and per-tier caps bound the worst case on paid plans.</w:t>
      </w:r>
    </w:p>
    <w:p>
      <w:pPr>
        <w:pStyle w:val="Heading2"/>
      </w:pPr>
      <w:r>
        <w:t>7.1 Per-user unit economics (monthly)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28"/>
            <w:shd w:val="clear" w:color="auto" w:fill="5B3FD6"/>
          </w:tcPr>
          <w:p>
            <w:pPr>
              <w:spacing w:after="40" w:before="40"/>
            </w:pPr>
            <w:r/>
            <w:r>
              <w:rPr>
                <w:b/>
                <w:color w:val="FFFFFF"/>
                <w:sz w:val="19"/>
              </w:rPr>
              <w:t>Tier</w:t>
            </w:r>
          </w:p>
        </w:tc>
        <w:tc>
          <w:tcPr>
            <w:tcW w:type="dxa" w:w="1584"/>
            <w:shd w:val="clear" w:color="auto" w:fill="5B3FD6"/>
          </w:tcPr>
          <w:p>
            <w:pPr>
              <w:spacing w:after="40" w:before="40"/>
            </w:pPr>
            <w:r/>
            <w:r>
              <w:rPr>
                <w:b/>
                <w:color w:val="FFFFFF"/>
                <w:sz w:val="19"/>
              </w:rPr>
              <w:t>Price</w:t>
            </w:r>
          </w:p>
        </w:tc>
        <w:tc>
          <w:tcPr>
            <w:tcW w:type="dxa" w:w="1584"/>
            <w:shd w:val="clear" w:color="auto" w:fill="5B3FD6"/>
          </w:tcPr>
          <w:p>
            <w:pPr>
              <w:spacing w:after="40" w:before="40"/>
            </w:pPr>
            <w:r/>
            <w:r>
              <w:rPr>
                <w:b/>
                <w:color w:val="FFFFFF"/>
                <w:sz w:val="19"/>
              </w:rPr>
              <w:t>AI COGS</w:t>
            </w:r>
          </w:p>
        </w:tc>
        <w:tc>
          <w:tcPr>
            <w:tcW w:type="dxa" w:w="1728"/>
            <w:shd w:val="clear" w:color="auto" w:fill="5B3FD6"/>
          </w:tcPr>
          <w:p>
            <w:pPr>
              <w:spacing w:after="40" w:before="40"/>
            </w:pPr>
            <w:r/>
            <w:r>
              <w:rPr>
                <w:b/>
                <w:color w:val="FFFFFF"/>
                <w:sz w:val="19"/>
              </w:rPr>
              <w:t>Payments</w:t>
            </w:r>
          </w:p>
        </w:tc>
        <w:tc>
          <w:tcPr>
            <w:tcW w:type="dxa" w:w="1440"/>
            <w:shd w:val="clear" w:color="auto" w:fill="5B3FD6"/>
          </w:tcPr>
          <w:p>
            <w:pPr>
              <w:spacing w:after="40" w:before="40"/>
            </w:pPr>
            <w:r/>
            <w:r>
              <w:rPr>
                <w:b/>
                <w:color w:val="FFFFFF"/>
                <w:sz w:val="19"/>
              </w:rPr>
              <w:t>Infra</w:t>
            </w:r>
          </w:p>
        </w:tc>
        <w:tc>
          <w:tcPr>
            <w:tcW w:type="dxa" w:w="2160"/>
            <w:shd w:val="clear" w:color="auto" w:fill="5B3FD6"/>
          </w:tcPr>
          <w:p>
            <w:pPr>
              <w:spacing w:after="40" w:before="40"/>
            </w:pPr>
            <w:r/>
            <w:r>
              <w:rPr>
                <w:b/>
                <w:color w:val="FFFFFF"/>
                <w:sz w:val="19"/>
              </w:rPr>
              <w:t>Gross profit</w:t>
            </w:r>
          </w:p>
        </w:tc>
        <w:tc>
          <w:tcPr>
            <w:tcW w:type="dxa" w:w="1728"/>
            <w:shd w:val="clear" w:color="auto" w:fill="5B3FD6"/>
          </w:tcPr>
          <w:p>
            <w:pPr>
              <w:spacing w:after="40" w:before="40"/>
            </w:pPr>
            <w:r/>
            <w:r>
              <w:rPr>
                <w:b/>
                <w:color w:val="FFFFFF"/>
                <w:sz w:val="19"/>
              </w:rPr>
              <w:t>Margin</w:t>
            </w:r>
          </w:p>
        </w:tc>
      </w:tr>
      <w:tr>
        <w:tc>
          <w:tcPr>
            <w:tcW w:type="dxa" w:w="1728"/>
          </w:tcPr>
          <w:p>
            <w:pPr>
              <w:spacing w:after="40" w:before="40"/>
            </w:pPr>
            <w:r/>
            <w:r>
              <w:rPr>
                <w:b/>
                <w:sz w:val="19"/>
              </w:rPr>
              <w:t>Free</w:t>
            </w:r>
          </w:p>
        </w:tc>
        <w:tc>
          <w:tcPr>
            <w:tcW w:type="dxa" w:w="1584"/>
          </w:tcPr>
          <w:p>
            <w:pPr>
              <w:spacing w:after="40" w:before="40"/>
            </w:pPr>
            <w:r/>
            <w:r>
              <w:rPr>
                <w:b w:val="0"/>
                <w:sz w:val="19"/>
              </w:rPr>
              <w:t>£0.00</w:t>
            </w:r>
          </w:p>
        </w:tc>
        <w:tc>
          <w:tcPr>
            <w:tcW w:type="dxa" w:w="1584"/>
          </w:tcPr>
          <w:p>
            <w:pPr>
              <w:spacing w:after="40" w:before="40"/>
            </w:pPr>
            <w:r/>
            <w:r>
              <w:rPr>
                <w:b w:val="0"/>
                <w:sz w:val="19"/>
              </w:rPr>
              <w:t>£0.10</w:t>
            </w:r>
          </w:p>
        </w:tc>
        <w:tc>
          <w:tcPr>
            <w:tcW w:type="dxa" w:w="1728"/>
          </w:tcPr>
          <w:p>
            <w:pPr>
              <w:spacing w:after="40" w:before="40"/>
            </w:pPr>
            <w:r/>
            <w:r>
              <w:rPr>
                <w:b w:val="0"/>
                <w:sz w:val="19"/>
              </w:rPr>
              <w:t>—</w:t>
            </w:r>
          </w:p>
        </w:tc>
        <w:tc>
          <w:tcPr>
            <w:tcW w:type="dxa" w:w="1440"/>
          </w:tcPr>
          <w:p>
            <w:pPr>
              <w:spacing w:after="40" w:before="40"/>
            </w:pPr>
            <w:r/>
            <w:r>
              <w:rPr>
                <w:b w:val="0"/>
                <w:sz w:val="19"/>
              </w:rPr>
              <w:t>£0.05</w:t>
            </w:r>
          </w:p>
        </w:tc>
        <w:tc>
          <w:tcPr>
            <w:tcW w:type="dxa" w:w="2160"/>
          </w:tcPr>
          <w:p>
            <w:pPr>
              <w:spacing w:after="40" w:before="40"/>
            </w:pPr>
            <w:r/>
            <w:r>
              <w:rPr>
                <w:b w:val="0"/>
                <w:sz w:val="19"/>
              </w:rPr>
              <w:t>−£0.15</w:t>
            </w:r>
          </w:p>
        </w:tc>
        <w:tc>
          <w:tcPr>
            <w:tcW w:type="dxa" w:w="1728"/>
          </w:tcPr>
          <w:p>
            <w:pPr>
              <w:spacing w:after="40" w:before="40"/>
            </w:pPr>
            <w:r/>
            <w:r>
              <w:rPr>
                <w:b w:val="0"/>
                <w:sz w:val="19"/>
              </w:rPr>
              <w:t>loss-leader</w:t>
            </w:r>
          </w:p>
        </w:tc>
      </w:tr>
      <w:tr>
        <w:tc>
          <w:tcPr>
            <w:tcW w:type="dxa" w:w="1728"/>
            <w:shd w:val="clear" w:color="auto" w:fill="F2EFFC"/>
          </w:tcPr>
          <w:p>
            <w:pPr>
              <w:spacing w:after="40" w:before="40"/>
            </w:pPr>
            <w:r/>
            <w:r>
              <w:rPr>
                <w:b/>
                <w:sz w:val="19"/>
              </w:rPr>
              <w:t>Creator</w:t>
            </w:r>
          </w:p>
        </w:tc>
        <w:tc>
          <w:tcPr>
            <w:tcW w:type="dxa" w:w="1584"/>
            <w:shd w:val="clear" w:color="auto" w:fill="F2EFFC"/>
          </w:tcPr>
          <w:p>
            <w:pPr>
              <w:spacing w:after="40" w:before="40"/>
            </w:pPr>
            <w:r/>
            <w:r>
              <w:rPr>
                <w:b w:val="0"/>
                <w:sz w:val="19"/>
              </w:rPr>
              <w:t>£15.00</w:t>
            </w:r>
          </w:p>
        </w:tc>
        <w:tc>
          <w:tcPr>
            <w:tcW w:type="dxa" w:w="1584"/>
            <w:shd w:val="clear" w:color="auto" w:fill="F2EFFC"/>
          </w:tcPr>
          <w:p>
            <w:pPr>
              <w:spacing w:after="40" w:before="40"/>
            </w:pPr>
            <w:r/>
            <w:r>
              <w:rPr>
                <w:b w:val="0"/>
                <w:sz w:val="19"/>
              </w:rPr>
              <w:t>£3.00</w:t>
            </w:r>
          </w:p>
        </w:tc>
        <w:tc>
          <w:tcPr>
            <w:tcW w:type="dxa" w:w="1728"/>
            <w:shd w:val="clear" w:color="auto" w:fill="F2EFFC"/>
          </w:tcPr>
          <w:p>
            <w:pPr>
              <w:spacing w:after="40" w:before="40"/>
            </w:pPr>
            <w:r/>
            <w:r>
              <w:rPr>
                <w:b w:val="0"/>
                <w:sz w:val="19"/>
              </w:rPr>
              <w:t>£0.70</w:t>
            </w:r>
          </w:p>
        </w:tc>
        <w:tc>
          <w:tcPr>
            <w:tcW w:type="dxa" w:w="1440"/>
            <w:shd w:val="clear" w:color="auto" w:fill="F2EFFC"/>
          </w:tcPr>
          <w:p>
            <w:pPr>
              <w:spacing w:after="40" w:before="40"/>
            </w:pPr>
            <w:r/>
            <w:r>
              <w:rPr>
                <w:b w:val="0"/>
                <w:sz w:val="19"/>
              </w:rPr>
              <w:t>£0.30</w:t>
            </w:r>
          </w:p>
        </w:tc>
        <w:tc>
          <w:tcPr>
            <w:tcW w:type="dxa" w:w="2160"/>
            <w:shd w:val="clear" w:color="auto" w:fill="F2EFFC"/>
          </w:tcPr>
          <w:p>
            <w:pPr>
              <w:spacing w:after="40" w:before="40"/>
            </w:pPr>
            <w:r/>
            <w:r>
              <w:rPr>
                <w:b w:val="0"/>
                <w:sz w:val="19"/>
              </w:rPr>
              <w:t>£11.00</w:t>
            </w:r>
          </w:p>
        </w:tc>
        <w:tc>
          <w:tcPr>
            <w:tcW w:type="dxa" w:w="1728"/>
            <w:shd w:val="clear" w:color="auto" w:fill="F2EFFC"/>
          </w:tcPr>
          <w:p>
            <w:pPr>
              <w:spacing w:after="40" w:before="40"/>
            </w:pPr>
            <w:r/>
            <w:r>
              <w:rPr>
                <w:b w:val="0"/>
                <w:sz w:val="19"/>
              </w:rPr>
              <w:t>73%</w:t>
            </w:r>
          </w:p>
        </w:tc>
      </w:tr>
      <w:tr>
        <w:tc>
          <w:tcPr>
            <w:tcW w:type="dxa" w:w="1728"/>
          </w:tcPr>
          <w:p>
            <w:pPr>
              <w:spacing w:after="40" w:before="40"/>
            </w:pPr>
            <w:r/>
            <w:r>
              <w:rPr>
                <w:b/>
                <w:sz w:val="19"/>
              </w:rPr>
              <w:t>Pro</w:t>
            </w:r>
          </w:p>
        </w:tc>
        <w:tc>
          <w:tcPr>
            <w:tcW w:type="dxa" w:w="1584"/>
          </w:tcPr>
          <w:p>
            <w:pPr>
              <w:spacing w:after="40" w:before="40"/>
            </w:pPr>
            <w:r/>
            <w:r>
              <w:rPr>
                <w:b w:val="0"/>
                <w:sz w:val="19"/>
              </w:rPr>
              <w:t>£39.00</w:t>
            </w:r>
          </w:p>
        </w:tc>
        <w:tc>
          <w:tcPr>
            <w:tcW w:type="dxa" w:w="1584"/>
          </w:tcPr>
          <w:p>
            <w:pPr>
              <w:spacing w:after="40" w:before="40"/>
            </w:pPr>
            <w:r/>
            <w:r>
              <w:rPr>
                <w:b w:val="0"/>
                <w:sz w:val="19"/>
              </w:rPr>
              <w:t>£10.00</w:t>
            </w:r>
          </w:p>
        </w:tc>
        <w:tc>
          <w:tcPr>
            <w:tcW w:type="dxa" w:w="1728"/>
          </w:tcPr>
          <w:p>
            <w:pPr>
              <w:spacing w:after="40" w:before="40"/>
            </w:pPr>
            <w:r/>
            <w:r>
              <w:rPr>
                <w:b w:val="0"/>
                <w:sz w:val="19"/>
              </w:rPr>
              <w:t>£1.40</w:t>
            </w:r>
          </w:p>
        </w:tc>
        <w:tc>
          <w:tcPr>
            <w:tcW w:type="dxa" w:w="1440"/>
          </w:tcPr>
          <w:p>
            <w:pPr>
              <w:spacing w:after="40" w:before="40"/>
            </w:pPr>
            <w:r/>
            <w:r>
              <w:rPr>
                <w:b w:val="0"/>
                <w:sz w:val="19"/>
              </w:rPr>
              <w:t>£0.50</w:t>
            </w:r>
          </w:p>
        </w:tc>
        <w:tc>
          <w:tcPr>
            <w:tcW w:type="dxa" w:w="2160"/>
          </w:tcPr>
          <w:p>
            <w:pPr>
              <w:spacing w:after="40" w:before="40"/>
            </w:pPr>
            <w:r/>
            <w:r>
              <w:rPr>
                <w:b w:val="0"/>
                <w:sz w:val="19"/>
              </w:rPr>
              <w:t>£27.10</w:t>
            </w:r>
          </w:p>
        </w:tc>
        <w:tc>
          <w:tcPr>
            <w:tcW w:type="dxa" w:w="1728"/>
          </w:tcPr>
          <w:p>
            <w:pPr>
              <w:spacing w:after="40" w:before="40"/>
            </w:pPr>
            <w:r/>
            <w:r>
              <w:rPr>
                <w:b w:val="0"/>
                <w:sz w:val="19"/>
              </w:rPr>
              <w:t>70%</w:t>
            </w:r>
          </w:p>
        </w:tc>
      </w:tr>
    </w:tbl>
    <w:p/>
    <w:p>
      <w:r>
        <w:rPr>
          <w:i/>
          <w:color w:val="555560"/>
        </w:rPr>
        <w:t>Blended paid ARPU at an 80/20 Creator/Pro mix is £19.80/month, at ~72% blended gross margin (~£14 gross profit per paying creator per month).</w:t>
      </w:r>
    </w:p>
    <w:p>
      <w:pPr>
        <w:pStyle w:val="Heading2"/>
      </w:pPr>
      <w:r>
        <w:t>7.2 Key assumptions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5B3FD6"/>
          </w:tcPr>
          <w:p>
            <w:pPr>
              <w:spacing w:after="40" w:before="40"/>
            </w:pPr>
            <w:r/>
            <w:r>
              <w:rPr>
                <w:b/>
                <w:color w:val="FFFFFF"/>
                <w:sz w:val="19"/>
              </w:rPr>
              <w:t>Assumption</w:t>
            </w:r>
          </w:p>
        </w:tc>
        <w:tc>
          <w:tcPr>
            <w:tcW w:type="dxa" w:w="2448"/>
            <w:shd w:val="clear" w:color="auto" w:fill="5B3FD6"/>
          </w:tcPr>
          <w:p>
            <w:pPr>
              <w:spacing w:after="40" w:before="40"/>
            </w:pPr>
            <w:r/>
            <w:r>
              <w:rPr>
                <w:b/>
                <w:color w:val="FFFFFF"/>
                <w:sz w:val="19"/>
              </w:rPr>
              <w:t>Value</w:t>
            </w:r>
          </w:p>
        </w:tc>
        <w:tc>
          <w:tcPr>
            <w:tcW w:type="dxa" w:w="5040"/>
            <w:shd w:val="clear" w:color="auto" w:fill="5B3FD6"/>
          </w:tcPr>
          <w:p>
            <w:pPr>
              <w:spacing w:after="40" w:before="40"/>
            </w:pPr>
            <w:r/>
            <w:r>
              <w:rPr>
                <w:b/>
                <w:color w:val="FFFFFF"/>
                <w:sz w:val="19"/>
              </w:rPr>
              <w:t>Basis</w:t>
            </w:r>
          </w:p>
        </w:tc>
      </w:tr>
      <w:tr>
        <w:tc>
          <w:tcPr>
            <w:tcW w:type="dxa" w:w="3168"/>
          </w:tcPr>
          <w:p>
            <w:pPr>
              <w:spacing w:after="40" w:before="40"/>
            </w:pPr>
            <w:r/>
            <w:r>
              <w:rPr>
                <w:b/>
                <w:sz w:val="19"/>
              </w:rPr>
              <w:t>Free → paid conversion</w:t>
            </w:r>
          </w:p>
        </w:tc>
        <w:tc>
          <w:tcPr>
            <w:tcW w:type="dxa" w:w="2448"/>
          </w:tcPr>
          <w:p>
            <w:pPr>
              <w:spacing w:after="40" w:before="40"/>
            </w:pPr>
            <w:r/>
            <w:r>
              <w:rPr>
                <w:b w:val="0"/>
                <w:sz w:val="19"/>
              </w:rPr>
              <w:t>~4%</w:t>
            </w:r>
          </w:p>
        </w:tc>
        <w:tc>
          <w:tcPr>
            <w:tcW w:type="dxa" w:w="5040"/>
          </w:tcPr>
          <w:p>
            <w:pPr>
              <w:spacing w:after="40" w:before="40"/>
            </w:pPr>
            <w:r/>
            <w:r>
              <w:rPr>
                <w:b w:val="0"/>
                <w:sz w:val="19"/>
              </w:rPr>
              <w:t>Conservative freemium SaaS benchmark</w:t>
            </w:r>
          </w:p>
        </w:tc>
      </w:tr>
      <w:tr>
        <w:tc>
          <w:tcPr>
            <w:tcW w:type="dxa" w:w="3168"/>
            <w:shd w:val="clear" w:color="auto" w:fill="F2EFFC"/>
          </w:tcPr>
          <w:p>
            <w:pPr>
              <w:spacing w:after="40" w:before="40"/>
            </w:pPr>
            <w:r/>
            <w:r>
              <w:rPr>
                <w:b/>
                <w:sz w:val="19"/>
              </w:rPr>
              <w:t>Creator / Pro mix</w:t>
            </w:r>
          </w:p>
        </w:tc>
        <w:tc>
          <w:tcPr>
            <w:tcW w:type="dxa" w:w="2448"/>
            <w:shd w:val="clear" w:color="auto" w:fill="F2EFFC"/>
          </w:tcPr>
          <w:p>
            <w:pPr>
              <w:spacing w:after="40" w:before="40"/>
            </w:pPr>
            <w:r/>
            <w:r>
              <w:rPr>
                <w:b w:val="0"/>
                <w:sz w:val="19"/>
              </w:rPr>
              <w:t>80% / 20%</w:t>
            </w:r>
          </w:p>
        </w:tc>
        <w:tc>
          <w:tcPr>
            <w:tcW w:type="dxa" w:w="5040"/>
            <w:shd w:val="clear" w:color="auto" w:fill="F2EFFC"/>
          </w:tcPr>
          <w:p>
            <w:pPr>
              <w:spacing w:after="40" w:before="40"/>
            </w:pPr>
            <w:r/>
            <w:r>
              <w:rPr>
                <w:b w:val="0"/>
                <w:sz w:val="19"/>
              </w:rPr>
              <w:t>Solo creators dominate; teams skew Pro</w:t>
            </w:r>
          </w:p>
        </w:tc>
      </w:tr>
      <w:tr>
        <w:tc>
          <w:tcPr>
            <w:tcW w:type="dxa" w:w="3168"/>
          </w:tcPr>
          <w:p>
            <w:pPr>
              <w:spacing w:after="40" w:before="40"/>
            </w:pPr>
            <w:r/>
            <w:r>
              <w:rPr>
                <w:b/>
                <w:sz w:val="19"/>
              </w:rPr>
              <w:t>Monthly churn</w:t>
            </w:r>
          </w:p>
        </w:tc>
        <w:tc>
          <w:tcPr>
            <w:tcW w:type="dxa" w:w="2448"/>
          </w:tcPr>
          <w:p>
            <w:pPr>
              <w:spacing w:after="40" w:before="40"/>
            </w:pPr>
            <w:r/>
            <w:r>
              <w:rPr>
                <w:b w:val="0"/>
                <w:sz w:val="19"/>
              </w:rPr>
              <w:t>~6%</w:t>
            </w:r>
          </w:p>
        </w:tc>
        <w:tc>
          <w:tcPr>
            <w:tcW w:type="dxa" w:w="5040"/>
          </w:tcPr>
          <w:p>
            <w:pPr>
              <w:spacing w:after="40" w:before="40"/>
            </w:pPr>
            <w:r/>
            <w:r>
              <w:rPr>
                <w:b w:val="0"/>
                <w:sz w:val="19"/>
              </w:rPr>
              <w:t>~17-month average customer lifetime</w:t>
            </w:r>
          </w:p>
        </w:tc>
      </w:tr>
      <w:tr>
        <w:tc>
          <w:tcPr>
            <w:tcW w:type="dxa" w:w="3168"/>
            <w:shd w:val="clear" w:color="auto" w:fill="F2EFFC"/>
          </w:tcPr>
          <w:p>
            <w:pPr>
              <w:spacing w:after="40" w:before="40"/>
            </w:pPr>
            <w:r/>
            <w:r>
              <w:rPr>
                <w:b/>
                <w:sz w:val="19"/>
              </w:rPr>
              <w:t>Blended gross margin</w:t>
            </w:r>
          </w:p>
        </w:tc>
        <w:tc>
          <w:tcPr>
            <w:tcW w:type="dxa" w:w="2448"/>
            <w:shd w:val="clear" w:color="auto" w:fill="F2EFFC"/>
          </w:tcPr>
          <w:p>
            <w:pPr>
              <w:spacing w:after="40" w:before="40"/>
            </w:pPr>
            <w:r/>
            <w:r>
              <w:rPr>
                <w:b w:val="0"/>
                <w:sz w:val="19"/>
              </w:rPr>
              <w:t>70–75%</w:t>
            </w:r>
          </w:p>
        </w:tc>
        <w:tc>
          <w:tcPr>
            <w:tcW w:type="dxa" w:w="5040"/>
            <w:shd w:val="clear" w:color="auto" w:fill="F2EFFC"/>
          </w:tcPr>
          <w:p>
            <w:pPr>
              <w:spacing w:after="40" w:before="40"/>
            </w:pPr>
            <w:r/>
            <w:r>
              <w:rPr>
                <w:b w:val="0"/>
                <w:sz w:val="19"/>
              </w:rPr>
              <w:t>Improving with scale + annual prepay</w:t>
            </w:r>
          </w:p>
        </w:tc>
      </w:tr>
      <w:tr>
        <w:tc>
          <w:tcPr>
            <w:tcW w:type="dxa" w:w="3168"/>
          </w:tcPr>
          <w:p>
            <w:pPr>
              <w:spacing w:after="40" w:before="40"/>
            </w:pPr>
            <w:r/>
            <w:r>
              <w:rPr>
                <w:b/>
                <w:sz w:val="19"/>
              </w:rPr>
              <w:t>Free-tier AI</w:t>
            </w:r>
          </w:p>
        </w:tc>
        <w:tc>
          <w:tcPr>
            <w:tcW w:type="dxa" w:w="2448"/>
          </w:tcPr>
          <w:p>
            <w:pPr>
              <w:spacing w:after="40" w:before="40"/>
            </w:pPr>
            <w:r/>
            <w:r>
              <w:rPr>
                <w:b w:val="0"/>
                <w:sz w:val="19"/>
              </w:rPr>
              <w:t>Rules engine</w:t>
            </w:r>
          </w:p>
        </w:tc>
        <w:tc>
          <w:tcPr>
            <w:tcW w:type="dxa" w:w="5040"/>
          </w:tcPr>
          <w:p>
            <w:pPr>
              <w:spacing w:after="40" w:before="40"/>
            </w:pPr>
            <w:r/>
            <w:r>
              <w:rPr>
                <w:b w:val="0"/>
                <w:sz w:val="19"/>
              </w:rPr>
              <w:t>Near-zero marginal AI cost</w:t>
            </w:r>
          </w:p>
        </w:tc>
      </w:tr>
      <w:tr>
        <w:tc>
          <w:tcPr>
            <w:tcW w:type="dxa" w:w="3168"/>
            <w:shd w:val="clear" w:color="auto" w:fill="F2EFFC"/>
          </w:tcPr>
          <w:p>
            <w:pPr>
              <w:spacing w:after="40" w:before="40"/>
            </w:pPr>
            <w:r/>
            <w:r>
              <w:rPr>
                <w:b/>
                <w:sz w:val="19"/>
              </w:rPr>
              <w:t>Annual billing</w:t>
            </w:r>
          </w:p>
        </w:tc>
        <w:tc>
          <w:tcPr>
            <w:tcW w:type="dxa" w:w="2448"/>
            <w:shd w:val="clear" w:color="auto" w:fill="F2EFFC"/>
          </w:tcPr>
          <w:p>
            <w:pPr>
              <w:spacing w:after="40" w:before="40"/>
            </w:pPr>
            <w:r/>
            <w:r>
              <w:rPr>
                <w:b w:val="0"/>
                <w:sz w:val="19"/>
              </w:rPr>
              <w:t>2 months free</w:t>
            </w:r>
          </w:p>
        </w:tc>
        <w:tc>
          <w:tcPr>
            <w:tcW w:type="dxa" w:w="5040"/>
            <w:shd w:val="clear" w:color="auto" w:fill="F2EFFC"/>
          </w:tcPr>
          <w:p>
            <w:pPr>
              <w:spacing w:after="40" w:before="40"/>
            </w:pPr>
            <w:r/>
            <w:r>
              <w:rPr>
                <w:b w:val="0"/>
                <w:sz w:val="19"/>
              </w:rPr>
              <w:t>Prepay, lower churn</w:t>
            </w:r>
          </w:p>
        </w:tc>
      </w:tr>
    </w:tbl>
    <w:p/>
    <w:p>
      <w:pPr>
        <w:pStyle w:val="Heading2"/>
      </w:pPr>
      <w:r>
        <w:t>7.3 Three-year P&amp;L (illustrative, GBP)</w:t>
      </w:r>
    </w:p>
    <w:p>
      <w:r>
        <w:rPr>
          <w:i/>
          <w:color w:val="555560"/>
        </w:rPr>
        <w:t>Figures are end-of-year run-rate users with approximate in-year revenue; projections, not promises.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896"/>
            <w:shd w:val="clear" w:color="auto" w:fill="5B3FD6"/>
          </w:tcPr>
          <w:p>
            <w:pPr>
              <w:spacing w:after="40" w:before="40"/>
            </w:pPr>
            <w:r/>
            <w:r>
              <w:rPr>
                <w:b/>
                <w:color w:val="FFFFFF"/>
                <w:sz w:val="19"/>
              </w:rPr>
              <w:t>Line item</w:t>
            </w:r>
          </w:p>
        </w:tc>
        <w:tc>
          <w:tcPr>
            <w:tcW w:type="dxa" w:w="2448"/>
            <w:shd w:val="clear" w:color="auto" w:fill="5B3FD6"/>
          </w:tcPr>
          <w:p>
            <w:pPr>
              <w:spacing w:after="40" w:before="40"/>
            </w:pPr>
            <w:r/>
            <w:r>
              <w:rPr>
                <w:b/>
                <w:color w:val="FFFFFF"/>
                <w:sz w:val="19"/>
              </w:rPr>
              <w:t>Year 1</w:t>
            </w:r>
          </w:p>
        </w:tc>
        <w:tc>
          <w:tcPr>
            <w:tcW w:type="dxa" w:w="2448"/>
            <w:shd w:val="clear" w:color="auto" w:fill="5B3FD6"/>
          </w:tcPr>
          <w:p>
            <w:pPr>
              <w:spacing w:after="40" w:before="40"/>
            </w:pPr>
            <w:r/>
            <w:r>
              <w:rPr>
                <w:b/>
                <w:color w:val="FFFFFF"/>
                <w:sz w:val="19"/>
              </w:rPr>
              <w:t>Year 2</w:t>
            </w:r>
          </w:p>
        </w:tc>
        <w:tc>
          <w:tcPr>
            <w:tcW w:type="dxa" w:w="2592"/>
            <w:shd w:val="clear" w:color="auto" w:fill="5B3FD6"/>
          </w:tcPr>
          <w:p>
            <w:pPr>
              <w:spacing w:after="40" w:before="40"/>
            </w:pPr>
            <w:r/>
            <w:r>
              <w:rPr>
                <w:b/>
                <w:color w:val="FFFFFF"/>
                <w:sz w:val="19"/>
              </w:rPr>
              <w:t>Year 3</w:t>
            </w:r>
          </w:p>
        </w:tc>
      </w:tr>
      <w:tr>
        <w:tc>
          <w:tcPr>
            <w:tcW w:type="dxa" w:w="4896"/>
          </w:tcPr>
          <w:p>
            <w:pPr>
              <w:spacing w:after="40" w:before="40"/>
            </w:pPr>
            <w:r/>
            <w:r>
              <w:rPr>
                <w:b/>
                <w:sz w:val="19"/>
              </w:rPr>
              <w:t>Free users (end of year)</w:t>
            </w:r>
          </w:p>
        </w:tc>
        <w:tc>
          <w:tcPr>
            <w:tcW w:type="dxa" w:w="2448"/>
          </w:tcPr>
          <w:p>
            <w:pPr>
              <w:spacing w:after="40" w:before="40"/>
            </w:pPr>
            <w:r/>
            <w:r>
              <w:rPr>
                <w:b w:val="0"/>
                <w:sz w:val="19"/>
              </w:rPr>
              <w:t>5,000</w:t>
            </w:r>
          </w:p>
        </w:tc>
        <w:tc>
          <w:tcPr>
            <w:tcW w:type="dxa" w:w="2448"/>
          </w:tcPr>
          <w:p>
            <w:pPr>
              <w:spacing w:after="40" w:before="40"/>
            </w:pPr>
            <w:r/>
            <w:r>
              <w:rPr>
                <w:b w:val="0"/>
                <w:sz w:val="19"/>
              </w:rPr>
              <w:t>30,000</w:t>
            </w:r>
          </w:p>
        </w:tc>
        <w:tc>
          <w:tcPr>
            <w:tcW w:type="dxa" w:w="2592"/>
          </w:tcPr>
          <w:p>
            <w:pPr>
              <w:spacing w:after="40" w:before="40"/>
            </w:pPr>
            <w:r/>
            <w:r>
              <w:rPr>
                <w:b w:val="0"/>
                <w:sz w:val="19"/>
              </w:rPr>
              <w:t>100,000</w:t>
            </w:r>
          </w:p>
        </w:tc>
      </w:tr>
      <w:tr>
        <w:tc>
          <w:tcPr>
            <w:tcW w:type="dxa" w:w="4896"/>
          </w:tcPr>
          <w:p>
            <w:pPr>
              <w:spacing w:after="40" w:before="40"/>
            </w:pPr>
            <w:r/>
            <w:r>
              <w:rPr>
                <w:b/>
                <w:sz w:val="19"/>
              </w:rPr>
              <w:t>Paying creators (end of year)</w:t>
            </w:r>
          </w:p>
        </w:tc>
        <w:tc>
          <w:tcPr>
            <w:tcW w:type="dxa" w:w="2448"/>
          </w:tcPr>
          <w:p>
            <w:pPr>
              <w:spacing w:after="40" w:before="40"/>
            </w:pPr>
            <w:r/>
            <w:r>
              <w:rPr>
                <w:b w:val="0"/>
                <w:sz w:val="19"/>
              </w:rPr>
              <w:t>200</w:t>
            </w:r>
          </w:p>
        </w:tc>
        <w:tc>
          <w:tcPr>
            <w:tcW w:type="dxa" w:w="2448"/>
          </w:tcPr>
          <w:p>
            <w:pPr>
              <w:spacing w:after="40" w:before="40"/>
            </w:pPr>
            <w:r/>
            <w:r>
              <w:rPr>
                <w:b w:val="0"/>
                <w:sz w:val="19"/>
              </w:rPr>
              <w:t>1,500</w:t>
            </w:r>
          </w:p>
        </w:tc>
        <w:tc>
          <w:tcPr>
            <w:tcW w:type="dxa" w:w="2592"/>
          </w:tcPr>
          <w:p>
            <w:pPr>
              <w:spacing w:after="40" w:before="40"/>
            </w:pPr>
            <w:r/>
            <w:r>
              <w:rPr>
                <w:b w:val="0"/>
                <w:sz w:val="19"/>
              </w:rPr>
              <w:t>5,000</w:t>
            </w:r>
          </w:p>
        </w:tc>
      </w:tr>
      <w:tr>
        <w:tc>
          <w:tcPr>
            <w:tcW w:type="dxa" w:w="4896"/>
          </w:tcPr>
          <w:p>
            <w:pPr>
              <w:spacing w:after="40" w:before="40"/>
            </w:pPr>
            <w:r/>
            <w:r>
              <w:rPr>
                <w:b/>
                <w:sz w:val="19"/>
              </w:rPr>
              <w:t>End-of-year MRR</w:t>
            </w:r>
          </w:p>
        </w:tc>
        <w:tc>
          <w:tcPr>
            <w:tcW w:type="dxa" w:w="2448"/>
          </w:tcPr>
          <w:p>
            <w:pPr>
              <w:spacing w:after="40" w:before="40"/>
            </w:pPr>
            <w:r/>
            <w:r>
              <w:rPr>
                <w:b w:val="0"/>
                <w:sz w:val="19"/>
              </w:rPr>
              <w:t>£3,960</w:t>
            </w:r>
          </w:p>
        </w:tc>
        <w:tc>
          <w:tcPr>
            <w:tcW w:type="dxa" w:w="2448"/>
          </w:tcPr>
          <w:p>
            <w:pPr>
              <w:spacing w:after="40" w:before="40"/>
            </w:pPr>
            <w:r/>
            <w:r>
              <w:rPr>
                <w:b w:val="0"/>
                <w:sz w:val="19"/>
              </w:rPr>
              <w:t>£29,700</w:t>
            </w:r>
          </w:p>
        </w:tc>
        <w:tc>
          <w:tcPr>
            <w:tcW w:type="dxa" w:w="2592"/>
          </w:tcPr>
          <w:p>
            <w:pPr>
              <w:spacing w:after="40" w:before="40"/>
            </w:pPr>
            <w:r/>
            <w:r>
              <w:rPr>
                <w:b w:val="0"/>
                <w:sz w:val="19"/>
              </w:rPr>
              <w:t>£99,000</w:t>
            </w:r>
          </w:p>
        </w:tc>
      </w:tr>
      <w:tr>
        <w:tc>
          <w:tcPr>
            <w:tcW w:type="dxa" w:w="4896"/>
          </w:tcPr>
          <w:p>
            <w:pPr>
              <w:spacing w:after="40" w:before="40"/>
            </w:pPr>
            <w:r/>
            <w:r>
              <w:rPr>
                <w:b/>
                <w:sz w:val="19"/>
              </w:rPr>
              <w:t>Revenue (in-year)</w:t>
            </w:r>
          </w:p>
        </w:tc>
        <w:tc>
          <w:tcPr>
            <w:tcW w:type="dxa" w:w="2448"/>
          </w:tcPr>
          <w:p>
            <w:pPr>
              <w:spacing w:after="40" w:before="40"/>
            </w:pPr>
            <w:r/>
            <w:r>
              <w:rPr>
                <w:b w:val="0"/>
                <w:sz w:val="19"/>
              </w:rPr>
              <w:t>£22,000</w:t>
            </w:r>
          </w:p>
        </w:tc>
        <w:tc>
          <w:tcPr>
            <w:tcW w:type="dxa" w:w="2448"/>
          </w:tcPr>
          <w:p>
            <w:pPr>
              <w:spacing w:after="40" w:before="40"/>
            </w:pPr>
            <w:r/>
            <w:r>
              <w:rPr>
                <w:b w:val="0"/>
                <w:sz w:val="19"/>
              </w:rPr>
              <w:t>£200,000</w:t>
            </w:r>
          </w:p>
        </w:tc>
        <w:tc>
          <w:tcPr>
            <w:tcW w:type="dxa" w:w="2592"/>
          </w:tcPr>
          <w:p>
            <w:pPr>
              <w:spacing w:after="40" w:before="40"/>
            </w:pPr>
            <w:r/>
            <w:r>
              <w:rPr>
                <w:b w:val="0"/>
                <w:sz w:val="19"/>
              </w:rPr>
              <w:t>£770,000</w:t>
            </w:r>
          </w:p>
        </w:tc>
      </w:tr>
      <w:tr>
        <w:tc>
          <w:tcPr>
            <w:tcW w:type="dxa" w:w="4896"/>
          </w:tcPr>
          <w:p>
            <w:pPr>
              <w:spacing w:after="40" w:before="40"/>
            </w:pPr>
            <w:r/>
            <w:r>
              <w:rPr>
                <w:b/>
                <w:sz w:val="19"/>
              </w:rPr>
              <w:t>Cost of goods sold (AI, infra, payments)</w:t>
            </w:r>
          </w:p>
        </w:tc>
        <w:tc>
          <w:tcPr>
            <w:tcW w:type="dxa" w:w="2448"/>
          </w:tcPr>
          <w:p>
            <w:pPr>
              <w:spacing w:after="40" w:before="40"/>
            </w:pPr>
            <w:r/>
            <w:r>
              <w:rPr>
                <w:b w:val="0"/>
                <w:sz w:val="19"/>
              </w:rPr>
              <w:t>(£6,600)</w:t>
            </w:r>
          </w:p>
        </w:tc>
        <w:tc>
          <w:tcPr>
            <w:tcW w:type="dxa" w:w="2448"/>
          </w:tcPr>
          <w:p>
            <w:pPr>
              <w:spacing w:after="40" w:before="40"/>
            </w:pPr>
            <w:r/>
            <w:r>
              <w:rPr>
                <w:b w:val="0"/>
                <w:sz w:val="19"/>
              </w:rPr>
              <w:t>(£56,000)</w:t>
            </w:r>
          </w:p>
        </w:tc>
        <w:tc>
          <w:tcPr>
            <w:tcW w:type="dxa" w:w="2592"/>
          </w:tcPr>
          <w:p>
            <w:pPr>
              <w:spacing w:after="40" w:before="40"/>
            </w:pPr>
            <w:r/>
            <w:r>
              <w:rPr>
                <w:b w:val="0"/>
                <w:sz w:val="19"/>
              </w:rPr>
              <w:t>(£200,000)</w:t>
            </w:r>
          </w:p>
        </w:tc>
      </w:tr>
      <w:tr>
        <w:tc>
          <w:tcPr>
            <w:tcW w:type="dxa" w:w="4896"/>
          </w:tcPr>
          <w:p>
            <w:pPr>
              <w:spacing w:after="40" w:before="40"/>
            </w:pPr>
            <w:r/>
            <w:r>
              <w:rPr>
                <w:b/>
                <w:sz w:val="19"/>
              </w:rPr>
              <w:t>Gross profit</w:t>
            </w:r>
          </w:p>
        </w:tc>
        <w:tc>
          <w:tcPr>
            <w:tcW w:type="dxa" w:w="2448"/>
          </w:tcPr>
          <w:p>
            <w:pPr>
              <w:spacing w:after="40" w:before="40"/>
            </w:pPr>
            <w:r/>
            <w:r>
              <w:rPr>
                <w:b w:val="0"/>
                <w:sz w:val="19"/>
              </w:rPr>
              <w:t>£15,400</w:t>
            </w:r>
          </w:p>
        </w:tc>
        <w:tc>
          <w:tcPr>
            <w:tcW w:type="dxa" w:w="2448"/>
          </w:tcPr>
          <w:p>
            <w:pPr>
              <w:spacing w:after="40" w:before="40"/>
            </w:pPr>
            <w:r/>
            <w:r>
              <w:rPr>
                <w:b w:val="0"/>
                <w:sz w:val="19"/>
              </w:rPr>
              <w:t>£144,000</w:t>
            </w:r>
          </w:p>
        </w:tc>
        <w:tc>
          <w:tcPr>
            <w:tcW w:type="dxa" w:w="2592"/>
          </w:tcPr>
          <w:p>
            <w:pPr>
              <w:spacing w:after="40" w:before="40"/>
            </w:pPr>
            <w:r/>
            <w:r>
              <w:rPr>
                <w:b w:val="0"/>
                <w:sz w:val="19"/>
              </w:rPr>
              <w:t>£570,000</w:t>
            </w:r>
          </w:p>
        </w:tc>
      </w:tr>
      <w:tr>
        <w:tc>
          <w:tcPr>
            <w:tcW w:type="dxa" w:w="4896"/>
          </w:tcPr>
          <w:p>
            <w:pPr>
              <w:spacing w:after="40" w:before="40"/>
            </w:pPr>
            <w:r/>
            <w:r>
              <w:rPr>
                <w:b/>
                <w:sz w:val="19"/>
              </w:rPr>
              <w:t xml:space="preserve">  Gross margin</w:t>
            </w:r>
          </w:p>
        </w:tc>
        <w:tc>
          <w:tcPr>
            <w:tcW w:type="dxa" w:w="2448"/>
          </w:tcPr>
          <w:p>
            <w:pPr>
              <w:spacing w:after="40" w:before="40"/>
            </w:pPr>
            <w:r/>
            <w:r>
              <w:rPr>
                <w:b w:val="0"/>
                <w:sz w:val="19"/>
              </w:rPr>
              <w:t>70%</w:t>
            </w:r>
          </w:p>
        </w:tc>
        <w:tc>
          <w:tcPr>
            <w:tcW w:type="dxa" w:w="2448"/>
          </w:tcPr>
          <w:p>
            <w:pPr>
              <w:spacing w:after="40" w:before="40"/>
            </w:pPr>
            <w:r/>
            <w:r>
              <w:rPr>
                <w:b w:val="0"/>
                <w:sz w:val="19"/>
              </w:rPr>
              <w:t>72%</w:t>
            </w:r>
          </w:p>
        </w:tc>
        <w:tc>
          <w:tcPr>
            <w:tcW w:type="dxa" w:w="2592"/>
          </w:tcPr>
          <w:p>
            <w:pPr>
              <w:spacing w:after="40" w:before="40"/>
            </w:pPr>
            <w:r/>
            <w:r>
              <w:rPr>
                <w:b w:val="0"/>
                <w:sz w:val="19"/>
              </w:rPr>
              <w:t>74%</w:t>
            </w:r>
          </w:p>
        </w:tc>
      </w:tr>
      <w:tr>
        <w:tc>
          <w:tcPr>
            <w:tcW w:type="dxa" w:w="4896"/>
          </w:tcPr>
          <w:p>
            <w:pPr>
              <w:spacing w:after="40" w:before="40"/>
            </w:pPr>
            <w:r/>
            <w:r>
              <w:rPr>
                <w:b/>
                <w:sz w:val="19"/>
              </w:rPr>
              <w:t>Marketing &amp; creator partnerships</w:t>
            </w:r>
          </w:p>
        </w:tc>
        <w:tc>
          <w:tcPr>
            <w:tcW w:type="dxa" w:w="2448"/>
          </w:tcPr>
          <w:p>
            <w:pPr>
              <w:spacing w:after="40" w:before="40"/>
            </w:pPr>
            <w:r/>
            <w:r>
              <w:rPr>
                <w:b w:val="0"/>
                <w:sz w:val="19"/>
              </w:rPr>
              <w:t>(£6,000)</w:t>
            </w:r>
          </w:p>
        </w:tc>
        <w:tc>
          <w:tcPr>
            <w:tcW w:type="dxa" w:w="2448"/>
          </w:tcPr>
          <w:p>
            <w:pPr>
              <w:spacing w:after="40" w:before="40"/>
            </w:pPr>
            <w:r/>
            <w:r>
              <w:rPr>
                <w:b w:val="0"/>
                <w:sz w:val="19"/>
              </w:rPr>
              <w:t>(£45,000)</w:t>
            </w:r>
          </w:p>
        </w:tc>
        <w:tc>
          <w:tcPr>
            <w:tcW w:type="dxa" w:w="2592"/>
          </w:tcPr>
          <w:p>
            <w:pPr>
              <w:spacing w:after="40" w:before="40"/>
            </w:pPr>
            <w:r/>
            <w:r>
              <w:rPr>
                <w:b w:val="0"/>
                <w:sz w:val="19"/>
              </w:rPr>
              <w:t>(£160,000)</w:t>
            </w:r>
          </w:p>
        </w:tc>
      </w:tr>
      <w:tr>
        <w:tc>
          <w:tcPr>
            <w:tcW w:type="dxa" w:w="4896"/>
          </w:tcPr>
          <w:p>
            <w:pPr>
              <w:spacing w:after="40" w:before="40"/>
            </w:pPr>
            <w:r/>
            <w:r>
              <w:rPr>
                <w:b/>
                <w:sz w:val="19"/>
              </w:rPr>
              <w:t>Salaries &amp; contractors</w:t>
            </w:r>
          </w:p>
        </w:tc>
        <w:tc>
          <w:tcPr>
            <w:tcW w:type="dxa" w:w="2448"/>
          </w:tcPr>
          <w:p>
            <w:pPr>
              <w:spacing w:after="40" w:before="40"/>
            </w:pPr>
            <w:r/>
            <w:r>
              <w:rPr>
                <w:b w:val="0"/>
                <w:sz w:val="19"/>
              </w:rPr>
              <w:t>(£2,000)</w:t>
            </w:r>
          </w:p>
        </w:tc>
        <w:tc>
          <w:tcPr>
            <w:tcW w:type="dxa" w:w="2448"/>
          </w:tcPr>
          <w:p>
            <w:pPr>
              <w:spacing w:after="40" w:before="40"/>
            </w:pPr>
            <w:r/>
            <w:r>
              <w:rPr>
                <w:b w:val="0"/>
                <w:sz w:val="19"/>
              </w:rPr>
              <w:t>(£45,000)</w:t>
            </w:r>
          </w:p>
        </w:tc>
        <w:tc>
          <w:tcPr>
            <w:tcW w:type="dxa" w:w="2592"/>
          </w:tcPr>
          <w:p>
            <w:pPr>
              <w:spacing w:after="40" w:before="40"/>
            </w:pPr>
            <w:r/>
            <w:r>
              <w:rPr>
                <w:b w:val="0"/>
                <w:sz w:val="19"/>
              </w:rPr>
              <w:t>(£200,000)</w:t>
            </w:r>
          </w:p>
        </w:tc>
      </w:tr>
      <w:tr>
        <w:tc>
          <w:tcPr>
            <w:tcW w:type="dxa" w:w="4896"/>
          </w:tcPr>
          <w:p>
            <w:pPr>
              <w:spacing w:after="40" w:before="40"/>
            </w:pPr>
            <w:r/>
            <w:r>
              <w:rPr>
                <w:b/>
                <w:sz w:val="19"/>
              </w:rPr>
              <w:t>Tools, infra &amp; overhead</w:t>
            </w:r>
          </w:p>
        </w:tc>
        <w:tc>
          <w:tcPr>
            <w:tcW w:type="dxa" w:w="2448"/>
          </w:tcPr>
          <w:p>
            <w:pPr>
              <w:spacing w:after="40" w:before="40"/>
            </w:pPr>
            <w:r/>
            <w:r>
              <w:rPr>
                <w:b w:val="0"/>
                <w:sz w:val="19"/>
              </w:rPr>
              <w:t>(£1,200)</w:t>
            </w:r>
          </w:p>
        </w:tc>
        <w:tc>
          <w:tcPr>
            <w:tcW w:type="dxa" w:w="2448"/>
          </w:tcPr>
          <w:p>
            <w:pPr>
              <w:spacing w:after="40" w:before="40"/>
            </w:pPr>
            <w:r/>
            <w:r>
              <w:rPr>
                <w:b w:val="0"/>
                <w:sz w:val="19"/>
              </w:rPr>
              <w:t>(£6,000)</w:t>
            </w:r>
          </w:p>
        </w:tc>
        <w:tc>
          <w:tcPr>
            <w:tcW w:type="dxa" w:w="2592"/>
          </w:tcPr>
          <w:p>
            <w:pPr>
              <w:spacing w:after="40" w:before="40"/>
            </w:pPr>
            <w:r/>
            <w:r>
              <w:rPr>
                <w:b w:val="0"/>
                <w:sz w:val="19"/>
              </w:rPr>
              <w:t>(£18,000)</w:t>
            </w:r>
          </w:p>
        </w:tc>
      </w:tr>
      <w:tr>
        <w:tc>
          <w:tcPr>
            <w:tcW w:type="dxa" w:w="4896"/>
          </w:tcPr>
          <w:p>
            <w:pPr>
              <w:spacing w:after="40" w:before="40"/>
            </w:pPr>
            <w:r/>
            <w:r>
              <w:rPr>
                <w:b/>
                <w:sz w:val="19"/>
              </w:rPr>
              <w:t>Other / contingency</w:t>
            </w:r>
          </w:p>
        </w:tc>
        <w:tc>
          <w:tcPr>
            <w:tcW w:type="dxa" w:w="2448"/>
          </w:tcPr>
          <w:p>
            <w:pPr>
              <w:spacing w:after="40" w:before="40"/>
            </w:pPr>
            <w:r/>
            <w:r>
              <w:rPr>
                <w:b w:val="0"/>
                <w:sz w:val="19"/>
              </w:rPr>
              <w:t>(£0)</w:t>
            </w:r>
          </w:p>
        </w:tc>
        <w:tc>
          <w:tcPr>
            <w:tcW w:type="dxa" w:w="2448"/>
          </w:tcPr>
          <w:p>
            <w:pPr>
              <w:spacing w:after="40" w:before="40"/>
            </w:pPr>
            <w:r/>
            <w:r>
              <w:rPr>
                <w:b w:val="0"/>
                <w:sz w:val="19"/>
              </w:rPr>
              <w:t>(£12,000)</w:t>
            </w:r>
          </w:p>
        </w:tc>
        <w:tc>
          <w:tcPr>
            <w:tcW w:type="dxa" w:w="2592"/>
          </w:tcPr>
          <w:p>
            <w:pPr>
              <w:spacing w:after="40" w:before="40"/>
            </w:pPr>
            <w:r/>
            <w:r>
              <w:rPr>
                <w:b w:val="0"/>
                <w:sz w:val="19"/>
              </w:rPr>
              <w:t>(£45,000)</w:t>
            </w:r>
          </w:p>
        </w:tc>
      </w:tr>
      <w:tr>
        <w:tc>
          <w:tcPr>
            <w:tcW w:type="dxa" w:w="4896"/>
          </w:tcPr>
          <w:p>
            <w:pPr>
              <w:spacing w:after="40" w:before="40"/>
            </w:pPr>
            <w:r/>
            <w:r>
              <w:rPr>
                <w:b/>
                <w:sz w:val="19"/>
              </w:rPr>
              <w:t>Operating profit (net)</w:t>
            </w:r>
          </w:p>
        </w:tc>
        <w:tc>
          <w:tcPr>
            <w:tcW w:type="dxa" w:w="2448"/>
          </w:tcPr>
          <w:p>
            <w:pPr>
              <w:spacing w:after="40" w:before="40"/>
            </w:pPr>
            <w:r/>
            <w:r>
              <w:rPr>
                <w:b w:val="0"/>
                <w:sz w:val="19"/>
              </w:rPr>
              <w:t>£6,200</w:t>
            </w:r>
          </w:p>
        </w:tc>
        <w:tc>
          <w:tcPr>
            <w:tcW w:type="dxa" w:w="2448"/>
          </w:tcPr>
          <w:p>
            <w:pPr>
              <w:spacing w:after="40" w:before="40"/>
            </w:pPr>
            <w:r/>
            <w:r>
              <w:rPr>
                <w:b w:val="0"/>
                <w:sz w:val="19"/>
              </w:rPr>
              <w:t>£36,000</w:t>
            </w:r>
          </w:p>
        </w:tc>
        <w:tc>
          <w:tcPr>
            <w:tcW w:type="dxa" w:w="2592"/>
          </w:tcPr>
          <w:p>
            <w:pPr>
              <w:spacing w:after="40" w:before="40"/>
            </w:pPr>
            <w:r/>
            <w:r>
              <w:rPr>
                <w:b w:val="0"/>
                <w:sz w:val="19"/>
              </w:rPr>
              <w:t>£147,000</w:t>
            </w:r>
          </w:p>
        </w:tc>
      </w:tr>
    </w:tbl>
    <w:p/>
    <w:p>
      <w:pPr>
        <w:pStyle w:val="Heading2"/>
      </w:pPr>
      <w:r>
        <w:t>7.4 Break-even &amp; cash</w:t>
      </w:r>
    </w:p>
    <w:p>
      <w:r>
        <w:rPr>
          <w:i w:val="0"/>
        </w:rPr>
        <w:t>Fixed monthly costs at launch are roughly £50–100 (Fly + Neon + Upstash free/low tiers + Cloudflare). Break-even is approximately 5–10 paying creators, reached within the private beta. Because the model is prepay-friendly (annual plans) and low-fixed-cost, Glance is cash-flow positive from early in Year 1 and self-funds its first hires — the core rationale for not raising capital.</w:t>
      </w:r>
    </w:p>
    <w:p>
      <w:pPr>
        <w:pStyle w:val="Heading2"/>
      </w:pPr>
      <w:r>
        <w:t>7.5 Customer economics (LTV / CAC)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5B3FD6"/>
          </w:tcPr>
          <w:p>
            <w:pPr>
              <w:spacing w:after="40" w:before="40"/>
            </w:pPr>
            <w:r/>
            <w:r>
              <w:rPr>
                <w:b/>
                <w:color w:val="FFFFFF"/>
                <w:sz w:val="19"/>
              </w:rPr>
              <w:t>Metric</w:t>
            </w:r>
          </w:p>
        </w:tc>
        <w:tc>
          <w:tcPr>
            <w:tcW w:type="dxa" w:w="2448"/>
            <w:shd w:val="clear" w:color="auto" w:fill="5B3FD6"/>
          </w:tcPr>
          <w:p>
            <w:pPr>
              <w:spacing w:after="40" w:before="40"/>
            </w:pPr>
            <w:r/>
            <w:r>
              <w:rPr>
                <w:b/>
                <w:color w:val="FFFFFF"/>
                <w:sz w:val="19"/>
              </w:rPr>
              <w:t>Value</w:t>
            </w:r>
          </w:p>
        </w:tc>
        <w:tc>
          <w:tcPr>
            <w:tcW w:type="dxa" w:w="5328"/>
            <w:shd w:val="clear" w:color="auto" w:fill="5B3FD6"/>
          </w:tcPr>
          <w:p>
            <w:pPr>
              <w:spacing w:after="40" w:before="40"/>
            </w:pPr>
            <w:r/>
            <w:r>
              <w:rPr>
                <w:b/>
                <w:color w:val="FFFFFF"/>
                <w:sz w:val="19"/>
              </w:rPr>
              <w:t>Note</w:t>
            </w:r>
          </w:p>
        </w:tc>
      </w:tr>
      <w:tr>
        <w:tc>
          <w:tcPr>
            <w:tcW w:type="dxa" w:w="2880"/>
          </w:tcPr>
          <w:p>
            <w:pPr>
              <w:spacing w:after="40" w:before="40"/>
            </w:pPr>
            <w:r/>
            <w:r>
              <w:rPr>
                <w:b/>
                <w:sz w:val="19"/>
              </w:rPr>
              <w:t>Blended paid ARPU</w:t>
            </w:r>
          </w:p>
        </w:tc>
        <w:tc>
          <w:tcPr>
            <w:tcW w:type="dxa" w:w="2448"/>
          </w:tcPr>
          <w:p>
            <w:pPr>
              <w:spacing w:after="40" w:before="40"/>
            </w:pPr>
            <w:r/>
            <w:r>
              <w:rPr>
                <w:b w:val="0"/>
                <w:sz w:val="19"/>
              </w:rPr>
              <w:t>£19.80 / mo</w:t>
            </w:r>
          </w:p>
        </w:tc>
        <w:tc>
          <w:tcPr>
            <w:tcW w:type="dxa" w:w="5328"/>
          </w:tcPr>
          <w:p>
            <w:pPr>
              <w:spacing w:after="40" w:before="40"/>
            </w:pPr>
            <w:r/>
            <w:r>
              <w:rPr>
                <w:b w:val="0"/>
                <w:sz w:val="19"/>
              </w:rPr>
              <w:t>80/20 Creator/Pro</w:t>
            </w:r>
          </w:p>
        </w:tc>
      </w:tr>
      <w:tr>
        <w:tc>
          <w:tcPr>
            <w:tcW w:type="dxa" w:w="2880"/>
            <w:shd w:val="clear" w:color="auto" w:fill="F2EFFC"/>
          </w:tcPr>
          <w:p>
            <w:pPr>
              <w:spacing w:after="40" w:before="40"/>
            </w:pPr>
            <w:r/>
            <w:r>
              <w:rPr>
                <w:b/>
                <w:sz w:val="19"/>
              </w:rPr>
              <w:t>Gross profit per user</w:t>
            </w:r>
          </w:p>
        </w:tc>
        <w:tc>
          <w:tcPr>
            <w:tcW w:type="dxa" w:w="2448"/>
            <w:shd w:val="clear" w:color="auto" w:fill="F2EFFC"/>
          </w:tcPr>
          <w:p>
            <w:pPr>
              <w:spacing w:after="40" w:before="40"/>
            </w:pPr>
            <w:r/>
            <w:r>
              <w:rPr>
                <w:b w:val="0"/>
                <w:sz w:val="19"/>
              </w:rPr>
              <w:t>~£14 / mo</w:t>
            </w:r>
          </w:p>
        </w:tc>
        <w:tc>
          <w:tcPr>
            <w:tcW w:type="dxa" w:w="5328"/>
            <w:shd w:val="clear" w:color="auto" w:fill="F2EFFC"/>
          </w:tcPr>
          <w:p>
            <w:pPr>
              <w:spacing w:after="40" w:before="40"/>
            </w:pPr>
            <w:r/>
            <w:r>
              <w:rPr>
                <w:b w:val="0"/>
                <w:sz w:val="19"/>
              </w:rPr>
              <w:t>~72% margin</w:t>
            </w:r>
          </w:p>
        </w:tc>
      </w:tr>
      <w:tr>
        <w:tc>
          <w:tcPr>
            <w:tcW w:type="dxa" w:w="2880"/>
          </w:tcPr>
          <w:p>
            <w:pPr>
              <w:spacing w:after="40" w:before="40"/>
            </w:pPr>
            <w:r/>
            <w:r>
              <w:rPr>
                <w:b/>
                <w:sz w:val="19"/>
              </w:rPr>
              <w:t>Average lifetime</w:t>
            </w:r>
          </w:p>
        </w:tc>
        <w:tc>
          <w:tcPr>
            <w:tcW w:type="dxa" w:w="2448"/>
          </w:tcPr>
          <w:p>
            <w:pPr>
              <w:spacing w:after="40" w:before="40"/>
            </w:pPr>
            <w:r/>
            <w:r>
              <w:rPr>
                <w:b w:val="0"/>
                <w:sz w:val="19"/>
              </w:rPr>
              <w:t>~17 months</w:t>
            </w:r>
          </w:p>
        </w:tc>
        <w:tc>
          <w:tcPr>
            <w:tcW w:type="dxa" w:w="5328"/>
          </w:tcPr>
          <w:p>
            <w:pPr>
              <w:spacing w:after="40" w:before="40"/>
            </w:pPr>
            <w:r/>
            <w:r>
              <w:rPr>
                <w:b w:val="0"/>
                <w:sz w:val="19"/>
              </w:rPr>
              <w:t>at ~6% monthly churn</w:t>
            </w:r>
          </w:p>
        </w:tc>
      </w:tr>
      <w:tr>
        <w:tc>
          <w:tcPr>
            <w:tcW w:type="dxa" w:w="2880"/>
            <w:shd w:val="clear" w:color="auto" w:fill="F2EFFC"/>
          </w:tcPr>
          <w:p>
            <w:pPr>
              <w:spacing w:after="40" w:before="40"/>
            </w:pPr>
            <w:r/>
            <w:r>
              <w:rPr>
                <w:b/>
                <w:sz w:val="19"/>
              </w:rPr>
              <w:t>Gross-profit LTV</w:t>
            </w:r>
          </w:p>
        </w:tc>
        <w:tc>
          <w:tcPr>
            <w:tcW w:type="dxa" w:w="2448"/>
            <w:shd w:val="clear" w:color="auto" w:fill="F2EFFC"/>
          </w:tcPr>
          <w:p>
            <w:pPr>
              <w:spacing w:after="40" w:before="40"/>
            </w:pPr>
            <w:r/>
            <w:r>
              <w:rPr>
                <w:b w:val="0"/>
                <w:sz w:val="19"/>
              </w:rPr>
              <w:t>~£235</w:t>
            </w:r>
          </w:p>
        </w:tc>
        <w:tc>
          <w:tcPr>
            <w:tcW w:type="dxa" w:w="5328"/>
            <w:shd w:val="clear" w:color="auto" w:fill="F2EFFC"/>
          </w:tcPr>
          <w:p>
            <w:pPr>
              <w:spacing w:after="40" w:before="40"/>
            </w:pPr>
            <w:r/>
            <w:r>
              <w:rPr>
                <w:b w:val="0"/>
                <w:sz w:val="19"/>
              </w:rPr>
              <w:t>lifetime × gross profit</w:t>
            </w:r>
          </w:p>
        </w:tc>
      </w:tr>
      <w:tr>
        <w:tc>
          <w:tcPr>
            <w:tcW w:type="dxa" w:w="2880"/>
          </w:tcPr>
          <w:p>
            <w:pPr>
              <w:spacing w:after="40" w:before="40"/>
            </w:pPr>
            <w:r/>
            <w:r>
              <w:rPr>
                <w:b/>
                <w:sz w:val="19"/>
              </w:rPr>
              <w:t>Target CAC</w:t>
            </w:r>
          </w:p>
        </w:tc>
        <w:tc>
          <w:tcPr>
            <w:tcW w:type="dxa" w:w="2448"/>
          </w:tcPr>
          <w:p>
            <w:pPr>
              <w:spacing w:after="40" w:before="40"/>
            </w:pPr>
            <w:r/>
            <w:r>
              <w:rPr>
                <w:b w:val="0"/>
                <w:sz w:val="19"/>
              </w:rPr>
              <w:t>&lt; £70</w:t>
            </w:r>
          </w:p>
        </w:tc>
        <w:tc>
          <w:tcPr>
            <w:tcW w:type="dxa" w:w="5328"/>
          </w:tcPr>
          <w:p>
            <w:pPr>
              <w:spacing w:after="40" w:before="40"/>
            </w:pPr>
            <w:r/>
            <w:r>
              <w:rPr>
                <w:b w:val="0"/>
                <w:sz w:val="19"/>
              </w:rPr>
              <w:t>affiliate / organic-led</w:t>
            </w:r>
          </w:p>
        </w:tc>
      </w:tr>
      <w:tr>
        <w:tc>
          <w:tcPr>
            <w:tcW w:type="dxa" w:w="2880"/>
            <w:shd w:val="clear" w:color="auto" w:fill="F2EFFC"/>
          </w:tcPr>
          <w:p>
            <w:pPr>
              <w:spacing w:after="40" w:before="40"/>
            </w:pPr>
            <w:r/>
            <w:r>
              <w:rPr>
                <w:b/>
                <w:sz w:val="19"/>
              </w:rPr>
              <w:t>LTV : CAC</w:t>
            </w:r>
          </w:p>
        </w:tc>
        <w:tc>
          <w:tcPr>
            <w:tcW w:type="dxa" w:w="2448"/>
            <w:shd w:val="clear" w:color="auto" w:fill="F2EFFC"/>
          </w:tcPr>
          <w:p>
            <w:pPr>
              <w:spacing w:after="40" w:before="40"/>
            </w:pPr>
            <w:r/>
            <w:r>
              <w:rPr>
                <w:b w:val="0"/>
                <w:sz w:val="19"/>
              </w:rPr>
              <w:t>&gt; 3 : 1</w:t>
            </w:r>
          </w:p>
        </w:tc>
        <w:tc>
          <w:tcPr>
            <w:tcW w:type="dxa" w:w="5328"/>
            <w:shd w:val="clear" w:color="auto" w:fill="F2EFFC"/>
          </w:tcPr>
          <w:p>
            <w:pPr>
              <w:spacing w:after="40" w:before="40"/>
            </w:pPr>
            <w:r/>
            <w:r>
              <w:rPr>
                <w:b w:val="0"/>
                <w:sz w:val="19"/>
              </w:rPr>
              <w:t>healthy SaaS benchmark</w:t>
            </w:r>
          </w:p>
        </w:tc>
      </w:tr>
      <w:tr>
        <w:tc>
          <w:tcPr>
            <w:tcW w:type="dxa" w:w="2880"/>
          </w:tcPr>
          <w:p>
            <w:pPr>
              <w:spacing w:after="40" w:before="40"/>
            </w:pPr>
            <w:r/>
            <w:r>
              <w:rPr>
                <w:b/>
                <w:sz w:val="19"/>
              </w:rPr>
              <w:t>CAC payback</w:t>
            </w:r>
          </w:p>
        </w:tc>
        <w:tc>
          <w:tcPr>
            <w:tcW w:type="dxa" w:w="2448"/>
          </w:tcPr>
          <w:p>
            <w:pPr>
              <w:spacing w:after="40" w:before="40"/>
            </w:pPr>
            <w:r/>
            <w:r>
              <w:rPr>
                <w:b w:val="0"/>
                <w:sz w:val="19"/>
              </w:rPr>
              <w:t>&lt; 5 months</w:t>
            </w:r>
          </w:p>
        </w:tc>
        <w:tc>
          <w:tcPr>
            <w:tcW w:type="dxa" w:w="5328"/>
          </w:tcPr>
          <w:p>
            <w:pPr>
              <w:spacing w:after="40" w:before="40"/>
            </w:pPr>
            <w:r/>
            <w:r>
              <w:rPr>
                <w:b w:val="0"/>
                <w:sz w:val="19"/>
              </w:rPr>
              <w:t>capital-efficient</w:t>
            </w:r>
          </w:p>
        </w:tc>
      </w:tr>
    </w:tbl>
    <w:p/>
    <w:p>
      <w:pPr>
        <w:pStyle w:val="Heading2"/>
      </w:pPr>
      <w:r>
        <w:t>7.6 Sensitivity</w:t>
      </w:r>
    </w:p>
    <w:p>
      <w:pPr>
        <w:pStyle w:val="ListBullet"/>
        <w:spacing w:after="60"/>
      </w:pPr>
      <w:r>
        <w:rPr>
          <w:b/>
        </w:rPr>
        <w:t xml:space="preserve">Conversion — </w:t>
      </w:r>
      <w:r>
        <w:t>at 2% free→paid (half of base), Year 2 revenue ~£100k and the business is still profitable given low fixed costs; at 6% it roughly doubles.</w:t>
      </w:r>
    </w:p>
    <w:p>
      <w:pPr>
        <w:pStyle w:val="ListBullet"/>
        <w:spacing w:after="60"/>
      </w:pPr>
      <w:r>
        <w:rPr>
          <w:b/>
        </w:rPr>
        <w:t xml:space="preserve">AI cost — </w:t>
      </w:r>
      <w:r>
        <w:t>the per-tier caps and the £0 rules fallback cap downside; a 2× Claude price rise trims blended margin by ~8–10 points, still comfortably positive.</w:t>
      </w:r>
    </w:p>
    <w:p>
      <w:pPr>
        <w:pStyle w:val="ListBullet"/>
        <w:spacing w:after="60"/>
      </w:pPr>
      <w:r>
        <w:rPr>
          <w:b/>
        </w:rPr>
        <w:t xml:space="preserve">Churn — </w:t>
      </w:r>
      <w:r>
        <w:t>every 1-point reduction in monthly churn adds ~3 months of lifetime and ~£40 to LTV.</w:t>
      </w:r>
    </w:p>
    <w:p>
      <w:pPr>
        <w:pStyle w:val="Heading1"/>
      </w:pPr>
      <w:r>
        <w:t>8. Go-to-Market Strategy</w:t>
      </w:r>
    </w:p>
    <w:p>
      <w:r>
        <w:rPr>
          <w:i w:val="0"/>
        </w:rPr>
        <w:t>Positioning: “Never miss what matters in your chat — hands-free.” Calm, not louder. Beachhead segment: serious solo streamers on Twitch and Kick (1,000–50,000 followers) who already feel chat overwhelm and pay for tools — then expand up-market to teams/agencies (Pro) and across to YouTube and TikTok creators.</w:t>
      </w:r>
    </w:p>
    <w:p>
      <w:pPr>
        <w:pStyle w:val="ListBullet"/>
        <w:spacing w:after="60"/>
      </w:pPr>
      <w:r>
        <w:rPr>
          <w:b/>
        </w:rPr>
        <w:t xml:space="preserve">Land — </w:t>
      </w:r>
      <w:r>
        <w:t>with the free tier and the no-glasses companion (phone + earbuds): zero hardware barrier, instant “aha” when Glance speaks the donation they would have missed.</w:t>
      </w:r>
    </w:p>
    <w:p>
      <w:pPr>
        <w:pStyle w:val="ListBullet"/>
        <w:spacing w:after="60"/>
      </w:pPr>
      <w:r>
        <w:rPr>
          <w:b/>
        </w:rPr>
        <w:t xml:space="preserve">Convert — </w:t>
      </w:r>
      <w:r>
        <w:t>to Creator (£15) for audio, voice and multi-platform once they feel the value live on stream.</w:t>
      </w:r>
    </w:p>
    <w:p>
      <w:pPr>
        <w:pStyle w:val="ListBullet"/>
        <w:spacing w:after="60"/>
      </w:pPr>
      <w:r>
        <w:rPr>
          <w:b/>
        </w:rPr>
        <w:t xml:space="preserve">Expand — </w:t>
      </w:r>
      <w:r>
        <w:t>to Pro (£39) for teams, simulcast, branded overlays and analytics — the agency and large-creator tier.</w:t>
      </w:r>
    </w:p>
    <w:p>
      <w:r>
        <w:rPr>
          <w:i w:val="0"/>
        </w:rPr>
        <w:t>Sequenced launch: (0) Private beta now — 25–50 hand-picked streamers, instrument activation and the “clip that” wow-moment, gather testimonials and demo clips. (1) Public launch — Product Hunt + Indie Hackers + a launch-day creator clip blitz. (2) Creator-partner flywheel — affiliate/paid partnerships with micro/nano streamers whose on-stream usage is the advert. (3) Platform &amp; glasses — lean into simulcasters and smart-glasses early adopters as that surface matures.</w:t>
      </w:r>
    </w:p>
    <w:p>
      <w:pPr>
        <w:pStyle w:val="Heading1"/>
      </w:pPr>
      <w:r>
        <w:t>9. Marketing Strategy</w:t>
      </w:r>
    </w:p>
    <w:p>
      <w:r>
        <w:rPr>
          <w:i w:val="0"/>
        </w:rPr>
        <w:t>The highest-ROI channel for selling software to creators is other creators: dedicated tutorial content from a trusted creator converts 4–8× better than a passing mention. The plan stacks compounding channels.</w:t>
      </w:r>
    </w:p>
    <w:p>
      <w:pPr>
        <w:pStyle w:val="ListBullet"/>
        <w:spacing w:after="60"/>
      </w:pPr>
      <w:r>
        <w:rPr>
          <w:b/>
        </w:rPr>
        <w:t xml:space="preserve">Creator partnerships (primary) — </w:t>
      </w:r>
      <w:r>
        <w:t>recruit micro/nano streamers on a hybrid model (small flat fee + per-signup bonus via unique promo links) for dedicated “how I never miss chat anymore” content. Glance is uniquely demo-able — it visibly does its job on their own live stream. Track signups per creator link, trial→paid and CPL.</w:t>
      </w:r>
    </w:p>
    <w:p>
      <w:pPr>
        <w:pStyle w:val="ListBullet"/>
        <w:spacing w:after="60"/>
      </w:pPr>
      <w:r>
        <w:rPr>
          <w:b/>
        </w:rPr>
        <w:t xml:space="preserve">Community (Discord) — </w:t>
      </w:r>
      <w:r>
        <w:t>a branded Glance server for onboarding, feedback and a creator-affiliate hub, plus sponsorships of established streamer/creator-tool servers where the audience self-organises.</w:t>
      </w:r>
    </w:p>
    <w:p>
      <w:pPr>
        <w:pStyle w:val="ListBullet"/>
        <w:spacing w:after="60"/>
      </w:pPr>
      <w:r>
        <w:rPr>
          <w:b/>
        </w:rPr>
        <w:t xml:space="preserve">Launch moment — </w:t>
      </w:r>
      <w:r>
        <w:t>a weekend Product Hunt launch with a strong demo video (evergreen asset), a pre-built supporter community and heavy first-three-hours engagement, paired with build-in-public threads on X, LinkedIn and Indie Hackers.</w:t>
      </w:r>
    </w:p>
    <w:p>
      <w:pPr>
        <w:pStyle w:val="ListBullet"/>
        <w:spacing w:after="60"/>
      </w:pPr>
      <w:r>
        <w:rPr>
          <w:b/>
        </w:rPr>
        <w:t xml:space="preserve">Content &amp; SEO — </w:t>
      </w:r>
      <w:r>
        <w:t>own the long-tail intent (“how to read Twitch chat while streaming,” “stop missing donations,” “multi-platform chat”) with genuinely useful guides that funnel to the free tier; short-form clips of “clip that” and “any donations?” are the discovery engine.</w:t>
      </w:r>
    </w:p>
    <w:p>
      <w:pPr>
        <w:pStyle w:val="ListBullet"/>
        <w:spacing w:after="60"/>
      </w:pPr>
      <w:r>
        <w:rPr>
          <w:b/>
        </w:rPr>
        <w:t xml:space="preserve">Coordinated multiplatform — </w:t>
      </w:r>
      <w:r>
        <w:t>tie Discord, partner streams, TikTok discovery and X threads into one calendar.</w:t>
      </w:r>
    </w:p>
    <w:p>
      <w:r>
        <w:rPr>
          <w:i/>
          <w:color w:val="555560"/>
        </w:rPr>
        <w:t>Budget posture (bootstrapped): start with affiliate/performance (pay only for results) + organic content + community, layering a modest flat-fee creator budget once CPL is proven. Target blended CAC under three months of gross margin (payback &lt; 90 days).</w:t>
      </w:r>
    </w:p>
    <w:p>
      <w:pPr>
        <w:pStyle w:val="Heading1"/>
      </w:pPr>
      <w:r>
        <w:t>10. Operations &amp; Team</w:t>
      </w:r>
    </w:p>
    <w:p>
      <w:pPr>
        <w:pStyle w:val="ListBullet"/>
        <w:spacing w:after="60"/>
      </w:pPr>
      <w:r>
        <w:rPr>
          <w:b/>
        </w:rPr>
        <w:t xml:space="preserve">Infrastructure — </w:t>
      </w:r>
      <w:r>
        <w:t>managed-simple (Fly server, Neon Postgres, Upstash Redis, Cloudflare Pages); observability via /metrics + /health; env-driven config; per-tenant isolation verified by independent audit.</w:t>
      </w:r>
    </w:p>
    <w:p>
      <w:pPr>
        <w:pStyle w:val="ListBullet"/>
        <w:spacing w:after="60"/>
      </w:pPr>
      <w:r>
        <w:rPr>
          <w:b/>
        </w:rPr>
        <w:t xml:space="preserve">Support — </w:t>
      </w:r>
      <w:r>
        <w:t>community-first (Discord) + email; priority support as a Pro differentiator.</w:t>
      </w:r>
    </w:p>
    <w:p>
      <w:pPr>
        <w:pStyle w:val="ListBullet"/>
        <w:spacing w:after="60"/>
      </w:pPr>
      <w:r>
        <w:rPr>
          <w:b/>
        </w:rPr>
        <w:t xml:space="preserve">Compliance &amp; trust — </w:t>
      </w:r>
      <w:r>
        <w:t>signed-token auth, AES-256-GCM encryption at rest, GDPR-style retention controls with data export/delete, SSRF-guarded outbound calls, and a documented pre-launch security audit (no criticals).</w:t>
      </w:r>
    </w:p>
    <w:p>
      <w:pPr>
        <w:pStyle w:val="ListBullet"/>
        <w:spacing w:after="60"/>
      </w:pPr>
      <w:r>
        <w:rPr>
          <w:b/>
        </w:rPr>
        <w:t xml:space="preserve">Team — </w:t>
      </w:r>
      <w:r>
        <w:t>lean and founder-led to start; first hires (funded from revenue) are a developer-advocate / creator-partnerships lead and part-time support.</w:t>
      </w:r>
    </w:p>
    <w:p>
      <w:pPr>
        <w:pStyle w:val="Heading1"/>
      </w:pPr>
      <w:r>
        <w:t>11. Roadmap</w:t>
      </w:r>
    </w:p>
    <w:p>
      <w:pPr>
        <w:pStyle w:val="ListBullet"/>
        <w:spacing w:after="60"/>
      </w:pPr>
      <w:r>
        <w:rPr>
          <w:b/>
        </w:rPr>
        <w:t xml:space="preserve">Now (launch-ready) — </w:t>
      </w:r>
      <w:r>
        <w:t>salience engine; Twitch/YouTube/Kick; unified multi-channel; voice; real clips; companion app + push; teams; billing; hardened, audited backend; deploy + store scaffolds.</w:t>
      </w:r>
    </w:p>
    <w:p>
      <w:pPr>
        <w:pStyle w:val="ListBullet"/>
        <w:spacing w:after="60"/>
      </w:pPr>
      <w:r>
        <w:rPr>
          <w:b/>
        </w:rPr>
        <w:t xml:space="preserve">0–3 months — </w:t>
      </w:r>
      <w:r>
        <w:t>native Android (TWA) and iOS (Capacitor) store builds; real APNs push; immediate-revocation token denylist; move push/team stores to Postgres for horizontal scale.</w:t>
      </w:r>
    </w:p>
    <w:p>
      <w:pPr>
        <w:pStyle w:val="ListBullet"/>
        <w:spacing w:after="60"/>
      </w:pPr>
      <w:r>
        <w:rPr>
          <w:b/>
        </w:rPr>
        <w:t xml:space="preserve">3–6 months — </w:t>
      </w:r>
      <w:r>
        <w:t>native Apple Watch app; deeper analytics; moderation auto-actions; Spanish localisation (Kick’s stronghold).</w:t>
      </w:r>
    </w:p>
    <w:p>
      <w:pPr>
        <w:pStyle w:val="ListBullet"/>
        <w:spacing w:after="60"/>
      </w:pPr>
      <w:r>
        <w:rPr>
          <w:b/>
        </w:rPr>
        <w:t xml:space="preserve">6–12 months — </w:t>
      </w:r>
      <w:r>
        <w:t>native smart-glasses render targets as the surface matures; SDK / partner programme; agency multi-creator console.</w:t>
      </w:r>
    </w:p>
    <w:p>
      <w:pPr>
        <w:pStyle w:val="Heading1"/>
      </w:pPr>
      <w:r>
        <w:t>12. Risks &amp; Mitigations</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5B3FD6"/>
          </w:tcPr>
          <w:p>
            <w:pPr>
              <w:spacing w:after="40" w:before="40"/>
            </w:pPr>
            <w:r/>
            <w:r>
              <w:rPr>
                <w:b/>
                <w:color w:val="FFFFFF"/>
                <w:sz w:val="19"/>
              </w:rPr>
              <w:t>Risk</w:t>
            </w:r>
          </w:p>
        </w:tc>
        <w:tc>
          <w:tcPr>
            <w:tcW w:type="dxa" w:w="6912"/>
            <w:shd w:val="clear" w:color="auto" w:fill="5B3FD6"/>
          </w:tcPr>
          <w:p>
            <w:pPr>
              <w:spacing w:after="40" w:before="40"/>
            </w:pPr>
            <w:r/>
            <w:r>
              <w:rPr>
                <w:b/>
                <w:color w:val="FFFFFF"/>
                <w:sz w:val="19"/>
              </w:rPr>
              <w:t>Mitigation</w:t>
            </w:r>
          </w:p>
        </w:tc>
      </w:tr>
      <w:tr>
        <w:tc>
          <w:tcPr>
            <w:tcW w:type="dxa" w:w="3744"/>
          </w:tcPr>
          <w:p>
            <w:pPr>
              <w:spacing w:after="40" w:before="40"/>
            </w:pPr>
            <w:r/>
            <w:r>
              <w:rPr>
                <w:b w:val="0"/>
                <w:sz w:val="19"/>
              </w:rPr>
              <w:t>AI cost spikes with usage</w:t>
            </w:r>
          </w:p>
        </w:tc>
        <w:tc>
          <w:tcPr>
            <w:tcW w:type="dxa" w:w="6912"/>
          </w:tcPr>
          <w:p>
            <w:pPr>
              <w:spacing w:after="40" w:before="40"/>
            </w:pPr>
            <w:r/>
            <w:r>
              <w:rPr>
                <w:b w:val="0"/>
                <w:sz w:val="19"/>
              </w:rPr>
              <w:t>Per-tier caps; Haiku for high-frequency calls; £0 rules fallback. The cap is the price lever.</w:t>
            </w:r>
          </w:p>
        </w:tc>
      </w:tr>
      <w:tr>
        <w:tc>
          <w:tcPr>
            <w:tcW w:type="dxa" w:w="3744"/>
            <w:shd w:val="clear" w:color="auto" w:fill="F2EFFC"/>
          </w:tcPr>
          <w:p>
            <w:pPr>
              <w:spacing w:after="40" w:before="40"/>
            </w:pPr>
            <w:r/>
            <w:r>
              <w:rPr>
                <w:b w:val="0"/>
                <w:sz w:val="19"/>
              </w:rPr>
              <w:t>Incumbent adds “AI” features</w:t>
            </w:r>
          </w:p>
        </w:tc>
        <w:tc>
          <w:tcPr>
            <w:tcW w:type="dxa" w:w="6912"/>
            <w:shd w:val="clear" w:color="auto" w:fill="F2EFFC"/>
          </w:tcPr>
          <w:p>
            <w:pPr>
              <w:spacing w:after="40" w:before="40"/>
            </w:pPr>
            <w:r/>
            <w:r>
              <w:rPr>
                <w:b w:val="0"/>
                <w:sz w:val="19"/>
              </w:rPr>
              <w:t>Salience + multi-surface depth is hard to copy; ship faster, own the heads-up/audio niche.</w:t>
            </w:r>
          </w:p>
        </w:tc>
      </w:tr>
      <w:tr>
        <w:tc>
          <w:tcPr>
            <w:tcW w:type="dxa" w:w="3744"/>
          </w:tcPr>
          <w:p>
            <w:pPr>
              <w:spacing w:after="40" w:before="40"/>
            </w:pPr>
            <w:r/>
            <w:r>
              <w:rPr>
                <w:b w:val="0"/>
                <w:sz w:val="19"/>
              </w:rPr>
              <w:t>Platform API / policy changes</w:t>
            </w:r>
          </w:p>
        </w:tc>
        <w:tc>
          <w:tcPr>
            <w:tcW w:type="dxa" w:w="6912"/>
          </w:tcPr>
          <w:p>
            <w:pPr>
              <w:spacing w:after="40" w:before="40"/>
            </w:pPr>
            <w:r/>
            <w:r>
              <w:rPr>
                <w:b w:val="0"/>
                <w:sz w:val="19"/>
              </w:rPr>
              <w:t>Adapter seam isolates each platform; multi-platform spreads risk; fail-soft everywhere.</w:t>
            </w:r>
          </w:p>
        </w:tc>
      </w:tr>
      <w:tr>
        <w:tc>
          <w:tcPr>
            <w:tcW w:type="dxa" w:w="3744"/>
            <w:shd w:val="clear" w:color="auto" w:fill="F2EFFC"/>
          </w:tcPr>
          <w:p>
            <w:pPr>
              <w:spacing w:after="40" w:before="40"/>
            </w:pPr>
            <w:r/>
            <w:r>
              <w:rPr>
                <w:b w:val="0"/>
                <w:sz w:val="19"/>
              </w:rPr>
              <w:t>Slow glasses adoption</w:t>
            </w:r>
          </w:p>
        </w:tc>
        <w:tc>
          <w:tcPr>
            <w:tcW w:type="dxa" w:w="6912"/>
            <w:shd w:val="clear" w:color="auto" w:fill="F2EFFC"/>
          </w:tcPr>
          <w:p>
            <w:pPr>
              <w:spacing w:after="40" w:before="40"/>
            </w:pPr>
            <w:r/>
            <w:r>
              <w:rPr>
                <w:b w:val="0"/>
                <w:sz w:val="19"/>
              </w:rPr>
              <w:t>Works today on phone/earbud/overlay — glasses are upside, not a dependency.</w:t>
            </w:r>
          </w:p>
        </w:tc>
      </w:tr>
      <w:tr>
        <w:tc>
          <w:tcPr>
            <w:tcW w:type="dxa" w:w="3744"/>
          </w:tcPr>
          <w:p>
            <w:pPr>
              <w:spacing w:after="40" w:before="40"/>
            </w:pPr>
            <w:r/>
            <w:r>
              <w:rPr>
                <w:b w:val="0"/>
                <w:sz w:val="19"/>
              </w:rPr>
              <w:t>Free-tier abuse / cost</w:t>
            </w:r>
          </w:p>
        </w:tc>
        <w:tc>
          <w:tcPr>
            <w:tcW w:type="dxa" w:w="6912"/>
          </w:tcPr>
          <w:p>
            <w:pPr>
              <w:spacing w:after="40" w:before="40"/>
            </w:pPr>
            <w:r/>
            <w:r>
              <w:rPr>
                <w:b w:val="0"/>
                <w:sz w:val="19"/>
              </w:rPr>
              <w:t>Rules-first free tier; 500-call cap; rate limits; SSRF guards; per-tenant caps (audited).</w:t>
            </w:r>
          </w:p>
        </w:tc>
      </w:tr>
      <w:tr>
        <w:tc>
          <w:tcPr>
            <w:tcW w:type="dxa" w:w="3744"/>
            <w:shd w:val="clear" w:color="auto" w:fill="F2EFFC"/>
          </w:tcPr>
          <w:p>
            <w:pPr>
              <w:spacing w:after="40" w:before="40"/>
            </w:pPr>
            <w:r/>
            <w:r>
              <w:rPr>
                <w:b w:val="0"/>
                <w:sz w:val="19"/>
              </w:rPr>
              <w:t>Single-founder bandwidth</w:t>
            </w:r>
          </w:p>
        </w:tc>
        <w:tc>
          <w:tcPr>
            <w:tcW w:type="dxa" w:w="6912"/>
            <w:shd w:val="clear" w:color="auto" w:fill="F2EFFC"/>
          </w:tcPr>
          <w:p>
            <w:pPr>
              <w:spacing w:after="40" w:before="40"/>
            </w:pPr>
            <w:r/>
            <w:r>
              <w:rPr>
                <w:b w:val="0"/>
                <w:sz w:val="19"/>
              </w:rPr>
              <w:t>Bootstrapped, low-ops managed stack; revenue-funded first hires.</w:t>
            </w:r>
          </w:p>
        </w:tc>
      </w:tr>
    </w:tbl>
    <w:p/>
    <w:p>
      <w:pPr>
        <w:pStyle w:val="Heading1"/>
      </w:pPr>
      <w:r>
        <w:t>13. Conclusion</w:t>
      </w:r>
    </w:p>
    <w:p>
      <w:r>
        <w:rPr>
          <w:i w:val="0"/>
        </w:rPr>
        <w:t>The market is large and growing, the problem is real and validated, incumbents do not solve attention, and Glance is built, audited and launch-ready with a capital-efficient model that needs no funding. The path to a sustainable, profitable business runs through creators showing other creators a product that quietly does the one thing they all struggle with: never miss what matters.</w:t>
      </w:r>
    </w:p>
    <w:p>
      <w:pPr>
        <w:pStyle w:val="Heading1"/>
      </w:pPr>
      <w:r>
        <w:t>Sources</w:t>
      </w:r>
    </w:p>
    <w:p>
      <w:r>
        <w:rPr>
          <w:i/>
          <w:color w:val="555560"/>
          <w:sz w:val="18"/>
        </w:rPr>
        <w:t>Creator economy: Grand View Research; Precedence Research; Market.us. Live-streaming market &amp; platform stats: Business Research Insights; Streams Charts (Q4 2025); ElectroIQ (Twitch); NetInfluencer (Kick). Smart glasses: Counterpoint Research; CNBC / EssilorLuxottica. Competitors: StreamElements; Streamlabs. Problem validation: StreamScheme; Murf. Marketing: getSaral SaaS influencer playbook; RocketDevs (Product Hunt); Indie Hackers; Digiday (Discord). FX: £1 ≈ $1.32 (exchangerates.org.uk / poundsterlinglive, June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60"/>
        <w:sz w:val="16"/>
      </w:rPr>
      <w:t xml:space="preserve">Glance — Private &amp; Confidential   Page </w:t>
    </w:r>
    <w:r>
      <w:rPr>
        <w:color w:val="5555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3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5B3FD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3232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555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