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5AAF" w14:textId="77777777" w:rsidR="00B84257" w:rsidRPr="00B84257" w:rsidRDefault="00B84257" w:rsidP="00B84257">
      <w:pPr>
        <w:spacing w:after="432"/>
        <w:outlineLvl w:val="2"/>
        <w:rPr>
          <w:rFonts w:ascii="Calibri" w:hAnsi="Calibri" w:cs="Calibri"/>
          <w:b/>
          <w:bCs/>
          <w:kern w:val="0"/>
          <w:szCs w:val="24"/>
          <w14:ligatures w14:val="none"/>
        </w:rPr>
      </w:pPr>
      <w:r w:rsidRPr="00B84257">
        <w:rPr>
          <w:rFonts w:ascii="Calibri" w:hAnsi="Calibri" w:cs="Calibri"/>
          <w:b/>
          <w:bCs/>
          <w:kern w:val="0"/>
          <w:szCs w:val="24"/>
          <w14:ligatures w14:val="none"/>
        </w:rPr>
        <w:t>Executive Summary Generation Prompt</w:t>
      </w:r>
    </w:p>
    <w:p w14:paraId="5263B022"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t>Prompt Text:</w:t>
      </w:r>
      <w:r w:rsidRPr="00B84257">
        <w:rPr>
          <w:rFonts w:ascii="Calibri" w:hAnsi="Calibri" w:cs="Calibri"/>
          <w:kern w:val="0"/>
          <w:szCs w:val="24"/>
          <w14:ligatures w14:val="none"/>
        </w:rPr>
        <w:br/>
        <w:t xml:space="preserve">You are an AI assistant generating an Executive Summary for </w:t>
      </w:r>
      <w:proofErr w:type="spellStart"/>
      <w:r w:rsidRPr="00B84257">
        <w:rPr>
          <w:rFonts w:ascii="Calibri" w:hAnsi="Calibri" w:cs="Calibri"/>
          <w:kern w:val="0"/>
          <w:szCs w:val="24"/>
          <w14:ligatures w14:val="none"/>
        </w:rPr>
        <w:t>SafiZero’s</w:t>
      </w:r>
      <w:proofErr w:type="spellEnd"/>
      <w:r w:rsidRPr="00B84257">
        <w:rPr>
          <w:rFonts w:ascii="Calibri" w:hAnsi="Calibri" w:cs="Calibri"/>
          <w:kern w:val="0"/>
          <w:szCs w:val="24"/>
          <w14:ligatures w14:val="none"/>
        </w:rPr>
        <w:t xml:space="preserve"> ESG/MRV report, compliant with frameworks like MOCCAE, ADX, or DIFC. Use only the provided CSV data: entity profile (name, sector, license, reporting year, audit ID), KPIs (compliance health score, renewable energy share, total emissions in </w:t>
      </w:r>
      <w:proofErr w:type="spellStart"/>
      <w:r w:rsidRPr="00B84257">
        <w:rPr>
          <w:rFonts w:ascii="Calibri" w:hAnsi="Calibri" w:cs="Calibri"/>
          <w:kern w:val="0"/>
          <w:szCs w:val="24"/>
          <w14:ligatures w14:val="none"/>
        </w:rPr>
        <w:t>tCO₂e</w:t>
      </w:r>
      <w:proofErr w:type="spellEnd"/>
      <w:r w:rsidRPr="00B84257">
        <w:rPr>
          <w:rFonts w:ascii="Calibri" w:hAnsi="Calibri" w:cs="Calibri"/>
          <w:kern w:val="0"/>
          <w:szCs w:val="24"/>
          <w14:ligatures w14:val="none"/>
        </w:rPr>
        <w:t>, training hours per employee, system monitoring accuracy), and derived financial impacts (fines avoided, carbon credits revenue, operational savings, total ROI as % of program budget). Include the organization’s Compliance Health Score (from CSV) as the leading metric of performance. Summarize overall performance in a professional, executive tone, highlighting YoY improvements, Climate Law compliance, and ROI-first outcomes. Structure as 3-4 paragraphs: overview, key achievements, financial benefits. Output in English and Arabic, keeping concise (200-300 words total). Respond in bilingual format: English first, then Arabic translation.</w:t>
      </w:r>
    </w:p>
    <w:p w14:paraId="5568E9E8"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t>Example Output Snippet:</w:t>
      </w:r>
      <w:r w:rsidRPr="00B84257">
        <w:rPr>
          <w:rFonts w:ascii="Calibri" w:hAnsi="Calibri" w:cs="Calibri"/>
          <w:kern w:val="0"/>
          <w:szCs w:val="24"/>
          <w14:ligatures w14:val="none"/>
        </w:rPr>
        <w:br/>
        <w:t>GEMS Modern School achieved a 94% Compliance Health Score in 2024, up 5% YoY, demonstrating strong adherence to KHDA and MOCCAE standards. Renewable energy share reached 30%, with zero baseline emissions established.</w:t>
      </w:r>
      <w:r w:rsidRPr="00B84257">
        <w:rPr>
          <w:rFonts w:ascii="Calibri" w:hAnsi="Calibri" w:cs="Calibri"/>
          <w:kern w:val="0"/>
          <w:szCs w:val="24"/>
          <w14:ligatures w14:val="none"/>
        </w:rPr>
        <w:br/>
        <w:t>Financially, AED 69,649 in fines were avoided, generating AED 23,585 in carbon credits revenue and AED 26,428 in savings, yielding 25% ROI.</w:t>
      </w:r>
    </w:p>
    <w:p w14:paraId="34E25627" w14:textId="77777777" w:rsidR="00B84257" w:rsidRPr="00B84257" w:rsidRDefault="00B84257" w:rsidP="00B84257">
      <w:pPr>
        <w:spacing w:before="432" w:after="432"/>
        <w:outlineLvl w:val="2"/>
        <w:rPr>
          <w:rFonts w:ascii="Calibri" w:hAnsi="Calibri" w:cs="Calibri"/>
          <w:b/>
          <w:bCs/>
          <w:kern w:val="0"/>
          <w:szCs w:val="24"/>
          <w14:ligatures w14:val="none"/>
        </w:rPr>
      </w:pPr>
      <w:r w:rsidRPr="00B84257">
        <w:rPr>
          <w:rFonts w:ascii="Calibri" w:hAnsi="Calibri" w:cs="Calibri"/>
          <w:b/>
          <w:bCs/>
          <w:kern w:val="0"/>
          <w:szCs w:val="24"/>
          <w14:ligatures w14:val="none"/>
        </w:rPr>
        <w:t>Governance Generation Prompt</w:t>
      </w:r>
    </w:p>
    <w:p w14:paraId="6A0FED15"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t>Prompt Text:</w:t>
      </w:r>
      <w:r w:rsidRPr="00B84257">
        <w:rPr>
          <w:rFonts w:ascii="Calibri" w:hAnsi="Calibri" w:cs="Calibri"/>
          <w:kern w:val="0"/>
          <w:szCs w:val="24"/>
          <w14:ligatures w14:val="none"/>
        </w:rPr>
        <w:br/>
        <w:t xml:space="preserve">As an AI for </w:t>
      </w:r>
      <w:proofErr w:type="spellStart"/>
      <w:r w:rsidRPr="00B84257">
        <w:rPr>
          <w:rFonts w:ascii="Calibri" w:hAnsi="Calibri" w:cs="Calibri"/>
          <w:kern w:val="0"/>
          <w:szCs w:val="24"/>
          <w14:ligatures w14:val="none"/>
        </w:rPr>
        <w:t>SafiZero’s</w:t>
      </w:r>
      <w:proofErr w:type="spellEnd"/>
      <w:r w:rsidRPr="00B84257">
        <w:rPr>
          <w:rFonts w:ascii="Calibri" w:hAnsi="Calibri" w:cs="Calibri"/>
          <w:kern w:val="0"/>
          <w:szCs w:val="24"/>
          <w14:ligatures w14:val="none"/>
        </w:rPr>
        <w:t xml:space="preserve"> ESG/MRV platform, generate a Governance section using only CSV fields: board diversity (%), ESG committee existence (yes/no), governance-related policies (e.g., non-discrimination, OH&amp;S, whistleblowing, ESG-linked pay), training completion rate (%), and derived data like compliance score and audit ID. Focus on MOCCAE/ADX/DIFC compliance, emphasizing leadership’s role in Climate Law adherence and ROI-driven ESG integration. Use professional tone: describe structures, policies, and oversight. Structure: introduction to governance framework, key metrics, future commitments. Provide bilingual output (English/Arabic), 150-250 words, avoiding external assumptions. Respond in bilingual format: English first, then Arabic translation.</w:t>
      </w:r>
    </w:p>
    <w:p w14:paraId="00073372"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t>Example Output Snippet:</w:t>
      </w:r>
      <w:r w:rsidRPr="00B84257">
        <w:rPr>
          <w:rFonts w:ascii="Calibri" w:hAnsi="Calibri" w:cs="Calibri"/>
          <w:kern w:val="0"/>
          <w:szCs w:val="24"/>
          <w14:ligatures w14:val="none"/>
        </w:rPr>
        <w:br/>
        <w:t>Al-Etihad Capital’s governance framework includes a dedicated ESG committee, ensuring 85% board diversity and full alignment with policies like non-discrimination and ESG-linked pay under DIFC standards. Training completion reached 95%, supporting robust oversight.</w:t>
      </w:r>
      <w:r w:rsidRPr="00B84257">
        <w:rPr>
          <w:rFonts w:ascii="Calibri" w:hAnsi="Calibri" w:cs="Calibri"/>
          <w:kern w:val="0"/>
          <w:szCs w:val="24"/>
          <w14:ligatures w14:val="none"/>
        </w:rPr>
        <w:br/>
        <w:t>This structure aligns with UAE Climate Law, driving compliance and sustainable ROI.</w:t>
      </w:r>
    </w:p>
    <w:p w14:paraId="2F4D56B6" w14:textId="77777777" w:rsidR="00B84257" w:rsidRPr="00B84257" w:rsidRDefault="00B84257" w:rsidP="00B84257">
      <w:pPr>
        <w:spacing w:before="432" w:after="432"/>
        <w:outlineLvl w:val="2"/>
        <w:rPr>
          <w:rFonts w:ascii="Calibri" w:hAnsi="Calibri" w:cs="Calibri"/>
          <w:b/>
          <w:bCs/>
          <w:kern w:val="0"/>
          <w:szCs w:val="24"/>
          <w14:ligatures w14:val="none"/>
        </w:rPr>
      </w:pPr>
      <w:r w:rsidRPr="00B84257">
        <w:rPr>
          <w:rFonts w:ascii="Calibri" w:hAnsi="Calibri" w:cs="Calibri"/>
          <w:b/>
          <w:bCs/>
          <w:kern w:val="0"/>
          <w:szCs w:val="24"/>
          <w14:ligatures w14:val="none"/>
        </w:rPr>
        <w:t>Strategy &amp; Initiatives Generation Prompt</w:t>
      </w:r>
    </w:p>
    <w:p w14:paraId="450443BC"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lastRenderedPageBreak/>
        <w:t>Prompt Text:</w:t>
      </w:r>
      <w:r w:rsidRPr="00B84257">
        <w:rPr>
          <w:rFonts w:ascii="Calibri" w:hAnsi="Calibri" w:cs="Calibri"/>
          <w:kern w:val="0"/>
          <w:szCs w:val="24"/>
          <w14:ligatures w14:val="none"/>
        </w:rPr>
        <w:br/>
        <w:t xml:space="preserve">Generate a Strategy &amp; Initiatives section for </w:t>
      </w:r>
      <w:proofErr w:type="spellStart"/>
      <w:r w:rsidRPr="00B84257">
        <w:rPr>
          <w:rFonts w:ascii="Calibri" w:hAnsi="Calibri" w:cs="Calibri"/>
          <w:kern w:val="0"/>
          <w:szCs w:val="24"/>
          <w14:ligatures w14:val="none"/>
        </w:rPr>
        <w:t>SafiZero’s</w:t>
      </w:r>
      <w:proofErr w:type="spellEnd"/>
      <w:r w:rsidRPr="00B84257">
        <w:rPr>
          <w:rFonts w:ascii="Calibri" w:hAnsi="Calibri" w:cs="Calibri"/>
          <w:kern w:val="0"/>
          <w:szCs w:val="24"/>
          <w14:ligatures w14:val="none"/>
        </w:rPr>
        <w:t xml:space="preserve"> bilingual ESG/MRV report, based solely on CSV data: net zero commitment (yes/no, target year), renewable energy initiatives (description, % share), emission reduction plans (Scope 1/2/3 targets), and derived KPIs like energy/water intensity reductions. Include initiative status (Active/Ongoing/Pilot) and responsible department if available. Reference templates (e.g., ADX, MOCCAE) for compliance, highlighting ROI from carbon credits and efficiency gains. Adopt executive tone: outline long-term strategy, current initiatives, progress toward goals. Format as 2-3 paragraphs with bullet points for initiatives. Output in English and Arabic, 200-300 words total. Respond in bilingual format: English first, then Arabic translation.</w:t>
      </w:r>
    </w:p>
    <w:p w14:paraId="4FA74C93"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t>Example Output Snippet:</w:t>
      </w:r>
      <w:r w:rsidRPr="00B84257">
        <w:rPr>
          <w:rFonts w:ascii="Calibri" w:hAnsi="Calibri" w:cs="Calibri"/>
          <w:kern w:val="0"/>
          <w:szCs w:val="24"/>
          <w14:ligatures w14:val="none"/>
        </w:rPr>
        <w:br/>
        <w:t xml:space="preserve">Committed to net zero by 2050, the organization implemented solar installations (Active, Facilities Dept.) boosting renewable share to 37%. Emission reductions targeted 10,000 </w:t>
      </w:r>
      <w:proofErr w:type="spellStart"/>
      <w:r w:rsidRPr="00B84257">
        <w:rPr>
          <w:rFonts w:ascii="Calibri" w:hAnsi="Calibri" w:cs="Calibri"/>
          <w:kern w:val="0"/>
          <w:szCs w:val="24"/>
          <w14:ligatures w14:val="none"/>
        </w:rPr>
        <w:t>tCO₂e</w:t>
      </w:r>
      <w:proofErr w:type="spellEnd"/>
      <w:r w:rsidRPr="00B84257">
        <w:rPr>
          <w:rFonts w:ascii="Calibri" w:hAnsi="Calibri" w:cs="Calibri"/>
          <w:kern w:val="0"/>
          <w:szCs w:val="24"/>
          <w14:ligatures w14:val="none"/>
        </w:rPr>
        <w:t xml:space="preserve"> for Scope 1.</w:t>
      </w:r>
      <w:r w:rsidRPr="00B84257">
        <w:rPr>
          <w:rFonts w:ascii="Calibri" w:hAnsi="Calibri" w:cs="Calibri"/>
          <w:kern w:val="0"/>
          <w:szCs w:val="24"/>
          <w14:ligatures w14:val="none"/>
        </w:rPr>
        <w:br/>
        <w:t>These initiatives comply with ADX guidelines, yielding operational savings and carbon credit revenues for positive ROI.</w:t>
      </w:r>
    </w:p>
    <w:p w14:paraId="603195F7" w14:textId="77777777" w:rsidR="00B84257" w:rsidRPr="00B84257" w:rsidRDefault="00B84257" w:rsidP="00B84257">
      <w:pPr>
        <w:spacing w:before="432" w:after="432"/>
        <w:outlineLvl w:val="2"/>
        <w:rPr>
          <w:rFonts w:ascii="Calibri" w:hAnsi="Calibri" w:cs="Calibri"/>
          <w:b/>
          <w:bCs/>
          <w:kern w:val="0"/>
          <w:szCs w:val="24"/>
          <w14:ligatures w14:val="none"/>
        </w:rPr>
      </w:pPr>
      <w:r w:rsidRPr="00B84257">
        <w:rPr>
          <w:rFonts w:ascii="Calibri" w:hAnsi="Calibri" w:cs="Calibri"/>
          <w:b/>
          <w:bCs/>
          <w:kern w:val="0"/>
          <w:szCs w:val="24"/>
          <w14:ligatures w14:val="none"/>
        </w:rPr>
        <w:t>Risk Management Generation Prompt</w:t>
      </w:r>
    </w:p>
    <w:p w14:paraId="69531A84"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t>Prompt Text:</w:t>
      </w:r>
      <w:r w:rsidRPr="00B84257">
        <w:rPr>
          <w:rFonts w:ascii="Calibri" w:hAnsi="Calibri" w:cs="Calibri"/>
          <w:kern w:val="0"/>
          <w:szCs w:val="24"/>
          <w14:ligatures w14:val="none"/>
        </w:rPr>
        <w:br/>
        <w:t xml:space="preserve">You are generating a Risk Management section for </w:t>
      </w:r>
      <w:proofErr w:type="spellStart"/>
      <w:r w:rsidRPr="00B84257">
        <w:rPr>
          <w:rFonts w:ascii="Calibri" w:hAnsi="Calibri" w:cs="Calibri"/>
          <w:kern w:val="0"/>
          <w:szCs w:val="24"/>
          <w14:ligatures w14:val="none"/>
        </w:rPr>
        <w:t>SafiZero’s</w:t>
      </w:r>
      <w:proofErr w:type="spellEnd"/>
      <w:r w:rsidRPr="00B84257">
        <w:rPr>
          <w:rFonts w:ascii="Calibri" w:hAnsi="Calibri" w:cs="Calibri"/>
          <w:kern w:val="0"/>
          <w:szCs w:val="24"/>
          <w14:ligatures w14:val="none"/>
        </w:rPr>
        <w:t xml:space="preserve"> ESG/MRV system, using only provided CSV fields: climate risk assessment (severity/likelihood ratings), mitigation measures (descriptions), supply chain risks (yes/no, details), and derived data like emissions intensity and fines avoided. Align with MOCCAE/ADX/DIFC frameworks, focusing on Climate Law risks and ROI impacts from non-compliance. Include a short list or table summarizing top 3 risks with severity index; flag any risk where severity &gt;3 for emphasis. Professional tone: identify key risks, assessment methods, mitigation strategies. Structure: risk overview, table or bullets for specifics, monitoring approach. Bilingual output (English/Arabic), concise at 150-250 words. Respond in bilingual format: English first, then Arabic translation.</w:t>
      </w:r>
    </w:p>
    <w:p w14:paraId="342D2879"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t>Example Output Snippet:</w:t>
      </w:r>
      <w:r w:rsidRPr="00B84257">
        <w:rPr>
          <w:rFonts w:ascii="Calibri" w:hAnsi="Calibri" w:cs="Calibri"/>
          <w:kern w:val="0"/>
          <w:szCs w:val="24"/>
          <w14:ligatures w14:val="none"/>
        </w:rPr>
        <w:br/>
        <w:t>Key risks include high-severity supply chain emissions (severity 4/5, flagged), mitigated through supplier audits. Climate Law non-compliance risks avoided via monitoring, saving AED 69,649 in fines.</w:t>
      </w:r>
      <w:r w:rsidRPr="00B84257">
        <w:rPr>
          <w:rFonts w:ascii="Calibri" w:hAnsi="Calibri" w:cs="Calibri"/>
          <w:kern w:val="0"/>
          <w:szCs w:val="24"/>
          <w14:ligatures w14:val="none"/>
        </w:rPr>
        <w:br/>
        <w:t>Ongoing assessments ensure ROI protection and ADX compliance.</w:t>
      </w:r>
    </w:p>
    <w:p w14:paraId="437680B9" w14:textId="77777777" w:rsidR="00B84257" w:rsidRPr="00B84257" w:rsidRDefault="00B84257" w:rsidP="00B84257">
      <w:pPr>
        <w:spacing w:before="432" w:after="432"/>
        <w:outlineLvl w:val="2"/>
        <w:rPr>
          <w:rFonts w:ascii="Calibri" w:hAnsi="Calibri" w:cs="Calibri"/>
          <w:b/>
          <w:bCs/>
          <w:kern w:val="0"/>
          <w:szCs w:val="24"/>
          <w14:ligatures w14:val="none"/>
        </w:rPr>
      </w:pPr>
      <w:r w:rsidRPr="00B84257">
        <w:rPr>
          <w:rFonts w:ascii="Calibri" w:hAnsi="Calibri" w:cs="Calibri"/>
          <w:b/>
          <w:bCs/>
          <w:kern w:val="0"/>
          <w:szCs w:val="24"/>
          <w14:ligatures w14:val="none"/>
        </w:rPr>
        <w:t>Metrics &amp; Targets Generation Prompt</w:t>
      </w:r>
    </w:p>
    <w:p w14:paraId="34352016"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t>Prompt Text:</w:t>
      </w:r>
      <w:r w:rsidRPr="00B84257">
        <w:rPr>
          <w:rFonts w:ascii="Calibri" w:hAnsi="Calibri" w:cs="Calibri"/>
          <w:kern w:val="0"/>
          <w:szCs w:val="24"/>
          <w14:ligatures w14:val="none"/>
        </w:rPr>
        <w:br/>
        <w:t xml:space="preserve">For </w:t>
      </w:r>
      <w:proofErr w:type="spellStart"/>
      <w:r w:rsidRPr="00B84257">
        <w:rPr>
          <w:rFonts w:ascii="Calibri" w:hAnsi="Calibri" w:cs="Calibri"/>
          <w:kern w:val="0"/>
          <w:szCs w:val="24"/>
          <w14:ligatures w14:val="none"/>
        </w:rPr>
        <w:t>SafiZero’s</w:t>
      </w:r>
      <w:proofErr w:type="spellEnd"/>
      <w:r w:rsidRPr="00B84257">
        <w:rPr>
          <w:rFonts w:ascii="Calibri" w:hAnsi="Calibri" w:cs="Calibri"/>
          <w:kern w:val="0"/>
          <w:szCs w:val="24"/>
          <w14:ligatures w14:val="none"/>
        </w:rPr>
        <w:t xml:space="preserve"> ESG/MRV report, create a Metrics &amp; Targets section from CSV data only: environmental metrics (Scope 1/2/3 emissions </w:t>
      </w:r>
      <w:proofErr w:type="spellStart"/>
      <w:r w:rsidRPr="00B84257">
        <w:rPr>
          <w:rFonts w:ascii="Calibri" w:hAnsi="Calibri" w:cs="Calibri"/>
          <w:kern w:val="0"/>
          <w:szCs w:val="24"/>
          <w14:ligatures w14:val="none"/>
        </w:rPr>
        <w:t>tCO₂e</w:t>
      </w:r>
      <w:proofErr w:type="spellEnd"/>
      <w:r w:rsidRPr="00B84257">
        <w:rPr>
          <w:rFonts w:ascii="Calibri" w:hAnsi="Calibri" w:cs="Calibri"/>
          <w:kern w:val="0"/>
          <w:szCs w:val="24"/>
          <w14:ligatures w14:val="none"/>
        </w:rPr>
        <w:t xml:space="preserve">, renewable share %, energy/water </w:t>
      </w:r>
      <w:r w:rsidRPr="00B84257">
        <w:rPr>
          <w:rFonts w:ascii="Calibri" w:hAnsi="Calibri" w:cs="Calibri"/>
          <w:kern w:val="0"/>
          <w:szCs w:val="24"/>
          <w14:ligatures w14:val="none"/>
        </w:rPr>
        <w:lastRenderedPageBreak/>
        <w:t>intensity), social (training hours, diversity %), governance (compliance score), with previous/current/target values. Incorporate derived KPIs like YoY changes and ROI projections. Include the Compliance Health Score (%) and ESG category averages if available. Reference UAE-specific templates (MOCCAE, ADX, DIFC) for Climate Law alignment, emphasizing measurable ROI outcomes. Executive tone: present in tables with narratives on progress. Bilingual (English/Arabic), 200-300 words including data summaries. Respond in bilingual format: English first, then Arabic translation.</w:t>
      </w:r>
    </w:p>
    <w:p w14:paraId="751CAE87"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t>Example Output Snippet:</w:t>
      </w:r>
      <w:r w:rsidRPr="00B84257">
        <w:rPr>
          <w:rFonts w:ascii="Calibri" w:hAnsi="Calibri" w:cs="Calibri"/>
          <w:kern w:val="0"/>
          <w:szCs w:val="24"/>
          <w14:ligatures w14:val="none"/>
        </w:rPr>
        <w:br/>
        <w:t xml:space="preserve">Scope 1 emissions reduced from 14,500 to 13,000 </w:t>
      </w:r>
      <w:proofErr w:type="spellStart"/>
      <w:r w:rsidRPr="00B84257">
        <w:rPr>
          <w:rFonts w:ascii="Calibri" w:hAnsi="Calibri" w:cs="Calibri"/>
          <w:kern w:val="0"/>
          <w:szCs w:val="24"/>
          <w14:ligatures w14:val="none"/>
        </w:rPr>
        <w:t>tCO₂e</w:t>
      </w:r>
      <w:proofErr w:type="spellEnd"/>
      <w:r w:rsidRPr="00B84257">
        <w:rPr>
          <w:rFonts w:ascii="Calibri" w:hAnsi="Calibri" w:cs="Calibri"/>
          <w:kern w:val="0"/>
          <w:szCs w:val="24"/>
          <w14:ligatures w14:val="none"/>
        </w:rPr>
        <w:t>, targeting 10,000; renewable share increased to 37% toward 55%. Compliance Health Score: 94%; ESG averages: Environment 85%, Social 90%.</w:t>
      </w:r>
      <w:r w:rsidRPr="00B84257">
        <w:rPr>
          <w:rFonts w:ascii="Calibri" w:hAnsi="Calibri" w:cs="Calibri"/>
          <w:kern w:val="0"/>
          <w:szCs w:val="24"/>
          <w14:ligatures w14:val="none"/>
        </w:rPr>
        <w:br/>
        <w:t>These metrics support MOCCAE compliance, with projected ROI from efficiency gains.</w:t>
      </w:r>
    </w:p>
    <w:p w14:paraId="68605645" w14:textId="77777777" w:rsidR="00B84257" w:rsidRPr="00B84257" w:rsidRDefault="00B84257" w:rsidP="00B84257">
      <w:pPr>
        <w:spacing w:before="432" w:after="432"/>
        <w:outlineLvl w:val="2"/>
        <w:rPr>
          <w:rFonts w:ascii="Calibri" w:hAnsi="Calibri" w:cs="Calibri"/>
          <w:b/>
          <w:bCs/>
          <w:kern w:val="0"/>
          <w:szCs w:val="24"/>
          <w14:ligatures w14:val="none"/>
        </w:rPr>
      </w:pPr>
      <w:r w:rsidRPr="00B84257">
        <w:rPr>
          <w:rFonts w:ascii="Calibri" w:hAnsi="Calibri" w:cs="Calibri"/>
          <w:b/>
          <w:bCs/>
          <w:kern w:val="0"/>
          <w:szCs w:val="24"/>
          <w14:ligatures w14:val="none"/>
        </w:rPr>
        <w:t>Assurance &amp; Evidence Generation Prompt</w:t>
      </w:r>
    </w:p>
    <w:p w14:paraId="52DA7E31"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t>Prompt Text:</w:t>
      </w:r>
      <w:r w:rsidRPr="00B84257">
        <w:rPr>
          <w:rFonts w:ascii="Calibri" w:hAnsi="Calibri" w:cs="Calibri"/>
          <w:kern w:val="0"/>
          <w:szCs w:val="24"/>
          <w14:ligatures w14:val="none"/>
        </w:rPr>
        <w:br/>
        <w:t xml:space="preserve">Generate an Assurance &amp; Evidence section for </w:t>
      </w:r>
      <w:proofErr w:type="spellStart"/>
      <w:r w:rsidRPr="00B84257">
        <w:rPr>
          <w:rFonts w:ascii="Calibri" w:hAnsi="Calibri" w:cs="Calibri"/>
          <w:kern w:val="0"/>
          <w:szCs w:val="24"/>
          <w14:ligatures w14:val="none"/>
        </w:rPr>
        <w:t>SafiZero’s</w:t>
      </w:r>
      <w:proofErr w:type="spellEnd"/>
      <w:r w:rsidRPr="00B84257">
        <w:rPr>
          <w:rFonts w:ascii="Calibri" w:hAnsi="Calibri" w:cs="Calibri"/>
          <w:kern w:val="0"/>
          <w:szCs w:val="24"/>
          <w14:ligatures w14:val="none"/>
        </w:rPr>
        <w:t xml:space="preserve"> bilingual ESG/MRV platform, using only CSV fields: audit ID, system monitoring accuracy (%), evidence links (URLs/descriptions for emissions data, training records), and derived financials (carbon credits certified, fines avoided). Reference uploaded items from the Evidence Vault (e.g., utility bills, audit PDFs, training logs) with monitoring accuracy and certification details. Ensure compliance with MOCCAE/ADX/DIFC standards, focusing on verifiable Climate Law adherence and ROI validation. Professional tone: detail assurance processes, evidence types, third-party verifications. Structure: assurance overview, evidence list, conclusion on data integrity. Output in English and Arabic, 150-250 words. Respond in bilingual format: English first, then Arabic translation.</w:t>
      </w:r>
    </w:p>
    <w:p w14:paraId="2327F193" w14:textId="77777777" w:rsidR="00B84257" w:rsidRPr="00B84257" w:rsidRDefault="00B84257" w:rsidP="00B84257">
      <w:pPr>
        <w:spacing w:before="288" w:after="288"/>
        <w:rPr>
          <w:rFonts w:ascii="Calibri" w:hAnsi="Calibri" w:cs="Calibri"/>
          <w:kern w:val="0"/>
          <w:szCs w:val="24"/>
          <w14:ligatures w14:val="none"/>
        </w:rPr>
      </w:pPr>
      <w:r w:rsidRPr="00B84257">
        <w:rPr>
          <w:rFonts w:ascii="Calibri" w:hAnsi="Calibri" w:cs="Calibri"/>
          <w:b/>
          <w:bCs/>
          <w:kern w:val="0"/>
          <w:szCs w:val="24"/>
          <w14:ligatures w14:val="none"/>
        </w:rPr>
        <w:t>Example Output Snippet:</w:t>
      </w:r>
      <w:r w:rsidRPr="00B84257">
        <w:rPr>
          <w:rFonts w:ascii="Calibri" w:hAnsi="Calibri" w:cs="Calibri"/>
          <w:kern w:val="0"/>
          <w:szCs w:val="24"/>
          <w14:ligatures w14:val="none"/>
        </w:rPr>
        <w:br/>
        <w:t>Audit C94689X confirms 93% monitoring accuracy, with certified emission reductions supporting AED 23,585 in carbon credits. Evidence from Vault includes utility bills and training logs.</w:t>
      </w:r>
      <w:r w:rsidRPr="00B84257">
        <w:rPr>
          <w:rFonts w:ascii="Calibri" w:hAnsi="Calibri" w:cs="Calibri"/>
          <w:kern w:val="0"/>
          <w:szCs w:val="24"/>
          <w14:ligatures w14:val="none"/>
        </w:rPr>
        <w:br/>
        <w:t>This assures DIFC compliance and reliable ROI reporting.</w:t>
      </w:r>
    </w:p>
    <w:p w14:paraId="77E721F6" w14:textId="77777777" w:rsidR="00E678E7" w:rsidRPr="00B84257" w:rsidRDefault="00E678E7" w:rsidP="00B84257">
      <w:pPr>
        <w:rPr>
          <w:rFonts w:ascii="Calibri" w:hAnsi="Calibri" w:cs="Calibri"/>
          <w:sz w:val="22"/>
          <w:szCs w:val="40"/>
        </w:rPr>
      </w:pPr>
    </w:p>
    <w:p w14:paraId="3B36AC07" w14:textId="77777777" w:rsidR="00B84257" w:rsidRPr="00B84257" w:rsidRDefault="00B84257">
      <w:pPr>
        <w:rPr>
          <w:rFonts w:ascii="Calibri" w:hAnsi="Calibri" w:cs="Calibri"/>
          <w:sz w:val="22"/>
          <w:szCs w:val="40"/>
        </w:rPr>
      </w:pPr>
    </w:p>
    <w:sectPr w:rsidR="00B84257" w:rsidRPr="00B84257" w:rsidSect="00125706">
      <w:pgSz w:w="1222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257"/>
    <w:rsid w:val="00125706"/>
    <w:rsid w:val="002336AC"/>
    <w:rsid w:val="00234963"/>
    <w:rsid w:val="002507D6"/>
    <w:rsid w:val="002B5599"/>
    <w:rsid w:val="00406E0F"/>
    <w:rsid w:val="00776409"/>
    <w:rsid w:val="00780642"/>
    <w:rsid w:val="00791047"/>
    <w:rsid w:val="00A43006"/>
    <w:rsid w:val="00AF3F82"/>
    <w:rsid w:val="00B84257"/>
    <w:rsid w:val="00B924E5"/>
    <w:rsid w:val="00D95700"/>
    <w:rsid w:val="00E470C2"/>
    <w:rsid w:val="00E678E7"/>
    <w:rsid w:val="00EE589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0E587"/>
  <w15:chartTrackingRefBased/>
  <w15:docId w15:val="{A8A02339-6A84-804A-9D93-5BF9E41B5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kern w:val="2"/>
        <w:sz w:val="24"/>
        <w:szCs w:val="4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4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25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25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25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25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4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257"/>
    <w:rPr>
      <w:rFonts w:eastAsiaTheme="majorEastAsia" w:cstheme="majorBidi"/>
      <w:color w:val="272727" w:themeColor="text1" w:themeTint="D8"/>
    </w:rPr>
  </w:style>
  <w:style w:type="paragraph" w:styleId="Title">
    <w:name w:val="Title"/>
    <w:basedOn w:val="Normal"/>
    <w:next w:val="Normal"/>
    <w:link w:val="TitleChar"/>
    <w:uiPriority w:val="10"/>
    <w:qFormat/>
    <w:rsid w:val="00B8425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25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2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257"/>
    <w:rPr>
      <w:i/>
      <w:iCs/>
      <w:color w:val="404040" w:themeColor="text1" w:themeTint="BF"/>
    </w:rPr>
  </w:style>
  <w:style w:type="paragraph" w:styleId="ListParagraph">
    <w:name w:val="List Paragraph"/>
    <w:basedOn w:val="Normal"/>
    <w:uiPriority w:val="34"/>
    <w:qFormat/>
    <w:rsid w:val="00B84257"/>
    <w:pPr>
      <w:ind w:left="720"/>
      <w:contextualSpacing/>
    </w:pPr>
  </w:style>
  <w:style w:type="character" w:styleId="IntenseEmphasis">
    <w:name w:val="Intense Emphasis"/>
    <w:basedOn w:val="DefaultParagraphFont"/>
    <w:uiPriority w:val="21"/>
    <w:qFormat/>
    <w:rsid w:val="00B84257"/>
    <w:rPr>
      <w:i/>
      <w:iCs/>
      <w:color w:val="0F4761" w:themeColor="accent1" w:themeShade="BF"/>
    </w:rPr>
  </w:style>
  <w:style w:type="paragraph" w:styleId="IntenseQuote">
    <w:name w:val="Intense Quote"/>
    <w:basedOn w:val="Normal"/>
    <w:next w:val="Normal"/>
    <w:link w:val="IntenseQuoteChar"/>
    <w:uiPriority w:val="30"/>
    <w:qFormat/>
    <w:rsid w:val="00B84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257"/>
    <w:rPr>
      <w:i/>
      <w:iCs/>
      <w:color w:val="0F4761" w:themeColor="accent1" w:themeShade="BF"/>
    </w:rPr>
  </w:style>
  <w:style w:type="character" w:styleId="IntenseReference">
    <w:name w:val="Intense Reference"/>
    <w:basedOn w:val="DefaultParagraphFont"/>
    <w:uiPriority w:val="32"/>
    <w:qFormat/>
    <w:rsid w:val="00B84257"/>
    <w:rPr>
      <w:b/>
      <w:bCs/>
      <w:smallCaps/>
      <w:color w:val="0F4761" w:themeColor="accent1" w:themeShade="BF"/>
      <w:spacing w:val="5"/>
    </w:rPr>
  </w:style>
  <w:style w:type="paragraph" w:styleId="NormalWeb">
    <w:name w:val="Normal (Web)"/>
    <w:basedOn w:val="Normal"/>
    <w:uiPriority w:val="99"/>
    <w:semiHidden/>
    <w:unhideWhenUsed/>
    <w:rsid w:val="00B84257"/>
    <w:pPr>
      <w:spacing w:before="100" w:beforeAutospacing="1" w:after="100" w:afterAutospacing="1"/>
    </w:pPr>
    <w:rPr>
      <w:rFonts w:ascii="Times New Roman" w:hAnsi="Times New Roman"/>
      <w:kern w:val="0"/>
      <w:szCs w:val="24"/>
      <w14:ligatures w14:val="none"/>
    </w:rPr>
  </w:style>
  <w:style w:type="character" w:styleId="Strong">
    <w:name w:val="Strong"/>
    <w:basedOn w:val="DefaultParagraphFont"/>
    <w:uiPriority w:val="22"/>
    <w:qFormat/>
    <w:rsid w:val="00B842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1016</Words>
  <Characters>6133</Characters>
  <Application>Microsoft Office Word</Application>
  <DocSecurity>0</DocSecurity>
  <Lines>191</Lines>
  <Paragraphs>121</Paragraphs>
  <ScaleCrop>false</ScaleCrop>
  <Company>Vota Air Technology</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Ajami</dc:creator>
  <cp:keywords/>
  <dc:description/>
  <cp:lastModifiedBy>Matt Ajami</cp:lastModifiedBy>
  <cp:revision>1</cp:revision>
  <dcterms:created xsi:type="dcterms:W3CDTF">2025-10-17T16:26:00Z</dcterms:created>
  <dcterms:modified xsi:type="dcterms:W3CDTF">2025-10-17T16:27:00Z</dcterms:modified>
</cp:coreProperties>
</file>