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8"/>
          <w:szCs w:val="28"/>
        </w:rPr>
        <w:t xml:space="preserve">Chapter 2</w:t>
      </w:r>
    </w:p>
    <w:p>
      <w:pPr>
        <w:spacing w:after="200"/>
      </w:pPr>
      <w:r>
        <w:rPr>
          <w:rFonts w:ascii="Times New Roman" w:cs="Times New Roman" w:eastAsia="Times New Roman" w:hAnsi="Times New Roman"/>
          <w:b/>
          <w:bCs/>
          <w:sz w:val="28"/>
          <w:szCs w:val="28"/>
        </w:rPr>
        <w:t xml:space="preserve">Related work</w:t>
      </w:r>
    </w:p>
    <w:p>
      <w:pPr>
        <w:spacing w:after="120"/>
      </w:pPr>
      <w:r>
        <w:rPr>
          <w:rFonts w:ascii="Times New Roman" w:cs="Times New Roman" w:eastAsia="Times New Roman" w:hAnsi="Times New Roman"/>
          <w:b w:val="false"/>
          <w:bCs w:val="false"/>
          <w:sz w:val="28"/>
          <w:szCs w:val="28"/>
        </w:rPr>
        <w:t xml:space="preserve">This chapter reviews existing literature on automated machine learning (AutoML) and explainable artificial intelligence (XAI) for disease detection. It covers AutoML foundations, healthcare applications, explainable AI methods, and explainability in clinical practice. The review identifies the strengths and limitations of existing approaches and frames the proposed explainability-integrated AutoML framework.</w:t>
      </w:r>
    </w:p>
    <w:p>
      <w:pPr>
        <w:keepNext/>
        <w:spacing w:after="120" w:before="120"/>
      </w:pPr>
      <w:r>
        <w:rPr>
          <w:rFonts w:ascii="Times New Roman" w:cs="Times New Roman" w:eastAsia="Times New Roman" w:hAnsi="Times New Roman"/>
          <w:b/>
          <w:bCs/>
          <w:sz w:val="28"/>
          <w:szCs w:val="28"/>
        </w:rPr>
        <w:t xml:space="preserve">2.1 AutoML Foundations and Frameworks</w:t>
      </w:r>
    </w:p>
    <w:p>
      <w:pPr>
        <w:spacing w:after="120"/>
      </w:pPr>
      <w:r>
        <w:rPr>
          <w:rFonts w:ascii="Times New Roman" w:cs="Times New Roman" w:eastAsia="Times New Roman" w:hAnsi="Times New Roman"/>
          <w:b w:val="false"/>
          <w:bCs w:val="false"/>
          <w:sz w:val="28"/>
          <w:szCs w:val="28"/>
        </w:rPr>
        <w:t xml:space="preserve">AutoML refers to automating the main steps of building a machine learning model, namely data preprocessing, feature engineering, model selection, and hyperparameter optimization. He et al. [1] provide a survey that organizes these steps into a taxonomy covering the whole pipeline. Building on this view, Feurer et al. [2] present Auto-sklearn, a concrete system that uses Bayesian optimization and meta-learning to select algorithms and tune their hyperparameters. Similarly, Karmaker et al. [3] review AutoML to date and identify the challenges that remain open. While these studies clearly define what AutoML automates and how, all three treat predictive performance as the primary objective, and the interpretability of the selected models receives little attention.</w:t>
      </w:r>
    </w:p>
    <w:p>
      <w:pPr>
        <w:keepNext/>
        <w:spacing w:after="120" w:before="120"/>
      </w:pPr>
      <w:r>
        <w:rPr>
          <w:rFonts w:ascii="Times New Roman" w:cs="Times New Roman" w:eastAsia="Times New Roman" w:hAnsi="Times New Roman"/>
          <w:b/>
          <w:bCs/>
          <w:sz w:val="28"/>
          <w:szCs w:val="28"/>
        </w:rPr>
        <w:t xml:space="preserve">2.2 AutoML in Healthcare and Biomedical Data</w:t>
      </w:r>
    </w:p>
    <w:p>
      <w:pPr>
        <w:spacing w:after="120"/>
      </w:pPr>
      <w:r>
        <w:rPr>
          <w:rFonts w:ascii="Times New Roman" w:cs="Times New Roman" w:eastAsia="Times New Roman" w:hAnsi="Times New Roman"/>
          <w:b w:val="false"/>
          <w:bCs w:val="false"/>
          <w:sz w:val="28"/>
          <w:szCs w:val="28"/>
        </w:rPr>
        <w:t xml:space="preserve">These studies apply AutoML to medical data. Waring et al. [4] review the state of the art and the opportunities of AutoML for healthcare. Faes et al. [5] demonstrate automated deep learning for medical image classification, showing that clinicians with no coding experience can build working models. In the tabular domain, Le et al. [6] scale the tree-based TPOT system to high-dimensional biomedical data by introducing a feature set selector. Across imaging and omics data, AutoML can match or approach expert-designed models. However, they mainly evaluate accuracy, area under the curve, and usability, and none of them examines whether the predictions of the selected models can be explained.</w:t>
      </w:r>
    </w:p>
    <w:p>
      <w:pPr>
        <w:keepNext/>
        <w:spacing w:after="120" w:before="120"/>
      </w:pPr>
      <w:r>
        <w:rPr>
          <w:rFonts w:ascii="Times New Roman" w:cs="Times New Roman" w:eastAsia="Times New Roman" w:hAnsi="Times New Roman"/>
          <w:b/>
          <w:bCs/>
          <w:sz w:val="28"/>
          <w:szCs w:val="28"/>
        </w:rPr>
        <w:t xml:space="preserve">2.3 Explainable AI Methods</w:t>
      </w:r>
    </w:p>
    <w:p>
      <w:pPr>
        <w:spacing w:after="120"/>
      </w:pPr>
      <w:r>
        <w:rPr>
          <w:rFonts w:ascii="Times New Roman" w:cs="Times New Roman" w:eastAsia="Times New Roman" w:hAnsi="Times New Roman"/>
          <w:b w:val="false"/>
          <w:bCs w:val="false"/>
          <w:sz w:val="28"/>
          <w:szCs w:val="28"/>
        </w:rPr>
        <w:t xml:space="preserve">Explainable AI methods aim to make the predictions of black-box models understandable. Arrieta et al. [7] provide a taxonomy that distinguishes intrinsic from post-hoc methods and model-agnostic from model-specific ones. LIME [8] explains individual predictions of any classifier through a local surrogate model, while SHAP [9] unifies feature-attribution methods under a game-theoretic framework that guarantees consistency. Lundberg et al. [10] later extend SHAP to tree ensembles, enabling fast and exact local explanations that can be aggregated into global understanding. In contrast, Grad-CAM [11] is model-specific and highlights the image regions that drive the decisions of convolutional networks. The split between SHAP and LIME for tabular data and Grad-CAM for images matches the two data types handled by AutoML in Section 2.2. However, these methods are developed and evaluated on a fixed, hand-built model rather than on a model chosen by an automated search.</w:t>
      </w:r>
    </w:p>
    <w:p>
      <w:pPr>
        <w:keepNext/>
        <w:spacing w:after="120" w:before="120"/>
      </w:pPr>
      <w:r>
        <w:rPr>
          <w:rFonts w:ascii="Times New Roman" w:cs="Times New Roman" w:eastAsia="Times New Roman" w:hAnsi="Times New Roman"/>
          <w:b/>
          <w:bCs/>
          <w:sz w:val="28"/>
          <w:szCs w:val="28"/>
        </w:rPr>
        <w:t xml:space="preserve">2.4 Explainability in Clinical Practice</w:t>
      </w:r>
    </w:p>
    <w:p>
      <w:pPr>
        <w:spacing w:after="120"/>
      </w:pPr>
      <w:r>
        <w:rPr>
          <w:rFonts w:ascii="Times New Roman" w:cs="Times New Roman" w:eastAsia="Times New Roman" w:hAnsi="Times New Roman"/>
          <w:b w:val="false"/>
          <w:bCs w:val="false"/>
          <w:sz w:val="28"/>
          <w:szCs w:val="28"/>
        </w:rPr>
        <w:t xml:space="preserve">These studies examine explanations in clinical decision making. Lundberg et al. [12] use SHAP to explain machine-learning predictions of hypoxaemia during surgery, giving a concrete example of clinically useful explanations. Tjoa and Guan [13] survey medical XAI methods and their challenges. Holzinger et al. [14] argue that explanations must be causable, meaning understandable to clinicians and not merely technically correct. In contrast, Ghassemi et al. [15] warn that current post-hoc explanations can be unreliable and may give false assurance. Together, these studies ask not only whether a model can be explained but also whether its explanations can be trusted.</w:t>
      </w:r>
    </w:p>
    <w:p>
      <w:pPr>
        <w:keepNext/>
        <w:spacing w:after="120" w:before="120"/>
      </w:pPr>
      <w:r>
        <w:rPr>
          <w:rFonts w:ascii="Times New Roman" w:cs="Times New Roman" w:eastAsia="Times New Roman" w:hAnsi="Times New Roman"/>
          <w:sz w:val="28"/>
          <w:szCs w:val="28"/>
        </w:rPr>
        <w:t xml:space="preserve">Table 2.1: Comparison of capabilities of existing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1"/>
        <w:gridCol w:w="1565"/>
        <w:gridCol w:w="1565"/>
        <w:gridCol w:w="1565"/>
        <w:gridCol w:w="1565"/>
        <w:gridCol w:w="1565"/>
      </w:tblGrid>
      <w:tr>
        <w:trPr>
          <w:cantSplit/>
          <w:tblHeader/>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Literature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Automated model building</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Explainability method</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Healthcare-focused</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Clinical trust addressed</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Integrated in one pipeline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w:t>
            </w:r>
          </w:p>
        </w:tc>
      </w:tr>
      <w:tr>
        <w:trPr>
          <w:cantSplit/>
        </w:trPr>
        <w:tc>
          <w:tcPr>
            <w:tcW w:type="dxa" w:w="1201"/>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This Work</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w:t>
            </w:r>
          </w:p>
        </w:tc>
        <w:tc>
          <w:tcPr>
            <w:tcW w:type="dxa" w:w="156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w:t>
            </w:r>
          </w:p>
        </w:tc>
      </w:tr>
    </w:tbl>
    <w:p>
      <w:pPr>
        <w:spacing w:after="0"/>
      </w:pPr>
    </w:p>
    <w:p>
      <w:pPr>
        <w:keepNext/>
        <w:spacing w:after="120" w:before="120"/>
      </w:pPr>
      <w:r>
        <w:rPr>
          <w:rFonts w:ascii="Times New Roman" w:cs="Times New Roman" w:eastAsia="Times New Roman" w:hAnsi="Times New Roman"/>
          <w:b/>
          <w:bCs/>
          <w:sz w:val="28"/>
          <w:szCs w:val="28"/>
        </w:rPr>
        <w:t xml:space="preserve">2.5 Insights</w:t>
      </w:r>
    </w:p>
    <w:p>
      <w:pPr>
        <w:spacing w:after="120"/>
      </w:pPr>
      <w:r>
        <w:rPr>
          <w:rFonts w:ascii="Times New Roman" w:cs="Times New Roman" w:eastAsia="Times New Roman" w:hAnsi="Times New Roman"/>
          <w:b w:val="false"/>
          <w:bCs w:val="false"/>
          <w:sz w:val="28"/>
          <w:szCs w:val="28"/>
        </w:rPr>
        <w:t xml:space="preserve">Table 2.1 shows that the literature falls into two largely separate branches. AutoML studies [1]–[6] lower the barrier to building disease-detection models but do not consider explanations. XAI studies [7]–[15] provide established explanation methods and discuss their clinical value, but they assume a fixed model. No existing work integrates the two into a single automated pipeline. In addition, AutoML may select different pipelines or ensembles across runs, yet the stability of the resulting explanations is rarely examined. Model selection also seldom balances accuracy against interpretability or explanation fidelity, and few evaluations assess whether explanations are clinically plausible and reliable.</w:t>
      </w:r>
    </w:p>
    <w:p>
      <w:pPr>
        <w:spacing w:after="120"/>
      </w:pPr>
      <w:r>
        <w:rPr>
          <w:rFonts w:ascii="Times New Roman" w:cs="Times New Roman" w:eastAsia="Times New Roman" w:hAnsi="Times New Roman"/>
          <w:b w:val="false"/>
          <w:bCs w:val="false"/>
          <w:sz w:val="28"/>
          <w:szCs w:val="28"/>
        </w:rPr>
        <w:t xml:space="preserve">This work proposes an AutoML framework that incorporates explainability into the pipeline. Automated model selection and hyperparameter search are followed by, or jointly optimized with, SHAP, LIME, or Grad-CAM explanations. The framework aims to produce high-performing disease-detection models with minimal manual tuning and consistent, clinically meaningful explanations for the selected model. Its evaluation covers predictive metrics and explanation quality, including stability and fidelity.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2026-09-21T17:43:40.544Z</dcterms:created>
  <dcterms:modified xsi:type="dcterms:W3CDTF">2026-09-21T17:43:40.545Z</dcterms:modified>
</cp:coreProperties>
</file>

<file path=docProps/custom.xml><?xml version="1.0" encoding="utf-8"?>
<Properties xmlns="http://schemas.openxmlformats.org/officeDocument/2006/custom-properties" xmlns:vt="http://schemas.openxmlformats.org/officeDocument/2006/docPropsVTypes"/>
</file>