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12AE9D" w14:textId="77777777" w:rsidR="00267C49" w:rsidRPr="008F4325" w:rsidRDefault="00000000">
      <w:pPr>
        <w:keepNext/>
        <w:spacing w:after="0" w:line="600" w:lineRule="auto"/>
      </w:pPr>
      <w:r w:rsidRPr="008F4325">
        <w:t>Literature Review Introduction</w:t>
      </w:r>
    </w:p>
    <w:p w14:paraId="6AE952B9" w14:textId="77777777" w:rsidR="008F4325" w:rsidRPr="008F4325" w:rsidRDefault="008F4325" w:rsidP="008F4325">
      <w:pPr>
        <w:pStyle w:val="Heading2"/>
        <w:spacing w:before="600" w:after="360" w:line="360" w:lineRule="auto"/>
        <w:rPr>
          <w:b w:val="0"/>
          <w:bCs w:val="0"/>
        </w:rPr>
      </w:pPr>
      <w:r w:rsidRPr="008F4325">
        <w:rPr>
          <w:b w:val="0"/>
          <w:bCs w:val="0"/>
        </w:rPr>
        <w:t>More than the number of Arithmetic Operations is required to have an impact on the Transformer Inference performance. Lower latency can be achieved in practice when using a theoretically parallel model, because of data movement, kernel scheduling, memory size, cache characteristics, and the difference between prompt processing and token generation, etc. This is outstanding for the comparison of NVIDIA CUDA versus Apple Metal. Optimized kernels and profiling tools for CUDA have an established ecosystem and typically use unified memory, which is shared between CPU and GPU, when Metal is working on Apple Silicon. Comparing two backends can only be absolute timing comparisons if the two backends use the same processors, memory systems, compiler, and libraries.</w:t>
      </w:r>
    </w:p>
    <w:p w14:paraId="3ABC814D" w14:textId="16DB7EA7" w:rsidR="00267C49" w:rsidRPr="008F4325" w:rsidRDefault="008F4325" w:rsidP="008F4325">
      <w:pPr>
        <w:pStyle w:val="Heading2"/>
        <w:spacing w:before="600" w:after="360" w:line="360" w:lineRule="auto"/>
      </w:pPr>
      <w:r w:rsidRPr="008F4325">
        <w:rPr>
          <w:b w:val="0"/>
          <w:bCs w:val="0"/>
        </w:rPr>
        <w:t>The thesis thus poses the question of whether the inference performance improvements made in fused and input output aware Transformers can be carried over from CUDA to Metal platforms, compared to their respective baseline platforms. All the literature was organized by performance mechanism and not by the date of publication. This de-factor structure allows us to link papers that are focused on the same bottleneck and to distinguish algorithms and the characteristics of the platform and the method of evaluation.</w:t>
      </w:r>
      <w:r>
        <w:rPr>
          <w:b w:val="0"/>
          <w:bCs w:val="0"/>
        </w:rPr>
        <w:br/>
      </w:r>
      <w:r>
        <w:rPr>
          <w:b w:val="0"/>
          <w:bCs w:val="0"/>
        </w:rPr>
        <w:br/>
      </w:r>
      <w:r w:rsidR="00000000" w:rsidRPr="008F4325">
        <w:t>1.1 Grouping of the literature</w:t>
      </w:r>
    </w:p>
    <w:p w14:paraId="6CB9386B" w14:textId="77777777" w:rsidR="00267C49" w:rsidRPr="008F4325" w:rsidRDefault="00000000">
      <w:pPr>
        <w:keepNext/>
        <w:spacing w:before="360" w:after="80"/>
        <w:jc w:val="center"/>
      </w:pPr>
      <w:r w:rsidRPr="008F4325">
        <w:t>Table 1.1: Literature grouping and rationale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700"/>
        <w:gridCol w:w="2960"/>
        <w:gridCol w:w="4340"/>
      </w:tblGrid>
      <w:tr w:rsidR="00267C49" w:rsidRPr="008F4325" w14:paraId="0847AF30" w14:textId="77777777">
        <w:trPr>
          <w:tblHeader/>
          <w:jc w:val="center"/>
        </w:trPr>
        <w:tc>
          <w:tcPr>
            <w:tcW w:w="1700" w:type="dxa"/>
            <w:tcMar>
              <w:top w:w="70" w:type="dxa"/>
              <w:left w:w="70" w:type="dxa"/>
              <w:bottom w:w="70" w:type="dxa"/>
              <w:right w:w="70" w:type="dxa"/>
            </w:tcMar>
            <w:vAlign w:val="center"/>
          </w:tcPr>
          <w:p w14:paraId="18B64BB9" w14:textId="77777777" w:rsidR="00267C49" w:rsidRPr="008F4325" w:rsidRDefault="00000000">
            <w:pPr>
              <w:spacing w:after="0"/>
            </w:pPr>
            <w:r w:rsidRPr="008F4325">
              <w:rPr>
                <w:b/>
              </w:rPr>
              <w:t>Group</w:t>
            </w:r>
          </w:p>
        </w:tc>
        <w:tc>
          <w:tcPr>
            <w:tcW w:w="2960" w:type="dxa"/>
            <w:tcMar>
              <w:top w:w="70" w:type="dxa"/>
              <w:left w:w="70" w:type="dxa"/>
              <w:bottom w:w="70" w:type="dxa"/>
              <w:right w:w="70" w:type="dxa"/>
            </w:tcMar>
            <w:vAlign w:val="center"/>
          </w:tcPr>
          <w:p w14:paraId="2483AC6F" w14:textId="77777777" w:rsidR="00267C49" w:rsidRPr="008F4325" w:rsidRDefault="00000000">
            <w:pPr>
              <w:spacing w:after="0"/>
            </w:pPr>
            <w:r w:rsidRPr="008F4325">
              <w:rPr>
                <w:b/>
              </w:rPr>
              <w:t>Representative studies</w:t>
            </w:r>
          </w:p>
        </w:tc>
        <w:tc>
          <w:tcPr>
            <w:tcW w:w="4340" w:type="dxa"/>
            <w:tcMar>
              <w:top w:w="70" w:type="dxa"/>
              <w:left w:w="70" w:type="dxa"/>
              <w:bottom w:w="70" w:type="dxa"/>
              <w:right w:w="70" w:type="dxa"/>
            </w:tcMar>
            <w:vAlign w:val="center"/>
          </w:tcPr>
          <w:p w14:paraId="6A7AE8F3" w14:textId="77777777" w:rsidR="00267C49" w:rsidRPr="008F4325" w:rsidRDefault="00000000">
            <w:pPr>
              <w:spacing w:after="0"/>
            </w:pPr>
            <w:r w:rsidRPr="008F4325">
              <w:rPr>
                <w:b/>
              </w:rPr>
              <w:t>Reason for inclusion</w:t>
            </w:r>
          </w:p>
        </w:tc>
      </w:tr>
      <w:tr w:rsidR="00267C49" w:rsidRPr="008F4325" w14:paraId="2CE77DE2" w14:textId="77777777">
        <w:trPr>
          <w:jc w:val="center"/>
        </w:trPr>
        <w:tc>
          <w:tcPr>
            <w:tcW w:w="1700" w:type="dxa"/>
            <w:tcMar>
              <w:top w:w="70" w:type="dxa"/>
              <w:left w:w="70" w:type="dxa"/>
              <w:bottom w:w="70" w:type="dxa"/>
              <w:right w:w="70" w:type="dxa"/>
            </w:tcMar>
            <w:vAlign w:val="center"/>
          </w:tcPr>
          <w:p w14:paraId="4118700C" w14:textId="77777777" w:rsidR="00267C49" w:rsidRPr="008F4325" w:rsidRDefault="00000000">
            <w:pPr>
              <w:spacing w:after="0"/>
            </w:pPr>
            <w:r w:rsidRPr="008F4325">
              <w:t>Workload foundations</w:t>
            </w:r>
          </w:p>
        </w:tc>
        <w:tc>
          <w:tcPr>
            <w:tcW w:w="2960" w:type="dxa"/>
            <w:tcMar>
              <w:top w:w="70" w:type="dxa"/>
              <w:left w:w="70" w:type="dxa"/>
              <w:bottom w:w="70" w:type="dxa"/>
              <w:right w:w="70" w:type="dxa"/>
            </w:tcMar>
            <w:vAlign w:val="center"/>
          </w:tcPr>
          <w:p w14:paraId="618F4B42" w14:textId="77777777" w:rsidR="00267C49" w:rsidRPr="008F4325" w:rsidRDefault="00000000">
            <w:pPr>
              <w:spacing w:after="0"/>
            </w:pPr>
            <w:r w:rsidRPr="008F4325">
              <w:t>Vaswani et al. [1]; Devlin et al.; Sze et al. [2]</w:t>
            </w:r>
          </w:p>
        </w:tc>
        <w:tc>
          <w:tcPr>
            <w:tcW w:w="4340" w:type="dxa"/>
            <w:tcMar>
              <w:top w:w="70" w:type="dxa"/>
              <w:left w:w="70" w:type="dxa"/>
              <w:bottom w:w="70" w:type="dxa"/>
              <w:right w:w="70" w:type="dxa"/>
            </w:tcMar>
            <w:vAlign w:val="center"/>
          </w:tcPr>
          <w:p w14:paraId="51470714" w14:textId="77777777" w:rsidR="00267C49" w:rsidRPr="008F4325" w:rsidRDefault="00000000">
            <w:pPr>
              <w:spacing w:after="0"/>
            </w:pPr>
            <w:r w:rsidRPr="008F4325">
              <w:t>Defines Transformer computation and links model structure to data movement, reuse, and accelerator cost.</w:t>
            </w:r>
          </w:p>
        </w:tc>
      </w:tr>
      <w:tr w:rsidR="00267C49" w:rsidRPr="008F4325" w14:paraId="63854CAC" w14:textId="77777777">
        <w:trPr>
          <w:jc w:val="center"/>
        </w:trPr>
        <w:tc>
          <w:tcPr>
            <w:tcW w:w="1700" w:type="dxa"/>
            <w:tcMar>
              <w:top w:w="70" w:type="dxa"/>
              <w:left w:w="70" w:type="dxa"/>
              <w:bottom w:w="70" w:type="dxa"/>
              <w:right w:w="70" w:type="dxa"/>
            </w:tcMar>
            <w:vAlign w:val="center"/>
          </w:tcPr>
          <w:p w14:paraId="47D504FE" w14:textId="77777777" w:rsidR="00267C49" w:rsidRPr="008F4325" w:rsidRDefault="00000000">
            <w:pPr>
              <w:spacing w:after="0"/>
            </w:pPr>
            <w:r w:rsidRPr="008F4325">
              <w:t>Attention and memory efficiency</w:t>
            </w:r>
          </w:p>
        </w:tc>
        <w:tc>
          <w:tcPr>
            <w:tcW w:w="2960" w:type="dxa"/>
            <w:tcMar>
              <w:top w:w="70" w:type="dxa"/>
              <w:left w:w="70" w:type="dxa"/>
              <w:bottom w:w="70" w:type="dxa"/>
              <w:right w:w="70" w:type="dxa"/>
            </w:tcMar>
            <w:vAlign w:val="center"/>
          </w:tcPr>
          <w:p w14:paraId="522D5F76" w14:textId="77777777" w:rsidR="00267C49" w:rsidRPr="008F4325" w:rsidRDefault="00000000">
            <w:pPr>
              <w:spacing w:after="0"/>
            </w:pPr>
            <w:r w:rsidRPr="008F4325">
              <w:t>FlashAttention 1-3 [5]; Native Sparse Attention [8]; LLM in a Flash [7]</w:t>
            </w:r>
          </w:p>
        </w:tc>
        <w:tc>
          <w:tcPr>
            <w:tcW w:w="4340" w:type="dxa"/>
            <w:tcMar>
              <w:top w:w="70" w:type="dxa"/>
              <w:left w:w="70" w:type="dxa"/>
              <w:bottom w:w="70" w:type="dxa"/>
              <w:right w:w="70" w:type="dxa"/>
            </w:tcMar>
            <w:vAlign w:val="center"/>
          </w:tcPr>
          <w:p w14:paraId="31B40DE1" w14:textId="77777777" w:rsidR="00267C49" w:rsidRPr="008F4325" w:rsidRDefault="00000000">
            <w:pPr>
              <w:spacing w:after="0"/>
            </w:pPr>
            <w:r w:rsidRPr="008F4325">
              <w:t>Changes memory traffic, work partitioning, sparsity, or parameter residency.</w:t>
            </w:r>
          </w:p>
        </w:tc>
      </w:tr>
      <w:tr w:rsidR="00267C49" w:rsidRPr="008F4325" w14:paraId="373F4BDC" w14:textId="77777777">
        <w:trPr>
          <w:jc w:val="center"/>
        </w:trPr>
        <w:tc>
          <w:tcPr>
            <w:tcW w:w="1700" w:type="dxa"/>
            <w:tcMar>
              <w:top w:w="70" w:type="dxa"/>
              <w:left w:w="70" w:type="dxa"/>
              <w:bottom w:w="70" w:type="dxa"/>
              <w:right w:w="70" w:type="dxa"/>
            </w:tcMar>
            <w:vAlign w:val="center"/>
          </w:tcPr>
          <w:p w14:paraId="0BDB5DD2" w14:textId="77777777" w:rsidR="00267C49" w:rsidRPr="008F4325" w:rsidRDefault="00000000">
            <w:pPr>
              <w:spacing w:after="0"/>
            </w:pPr>
            <w:r w:rsidRPr="008F4325">
              <w:lastRenderedPageBreak/>
              <w:t>Platforms and profiling</w:t>
            </w:r>
          </w:p>
        </w:tc>
        <w:tc>
          <w:tcPr>
            <w:tcW w:w="2960" w:type="dxa"/>
            <w:tcMar>
              <w:top w:w="70" w:type="dxa"/>
              <w:left w:w="70" w:type="dxa"/>
              <w:bottom w:w="70" w:type="dxa"/>
              <w:right w:w="70" w:type="dxa"/>
            </w:tcMar>
            <w:vAlign w:val="center"/>
          </w:tcPr>
          <w:p w14:paraId="79AAF403" w14:textId="77777777" w:rsidR="00267C49" w:rsidRPr="008F4325" w:rsidRDefault="00000000">
            <w:pPr>
              <w:spacing w:after="0"/>
            </w:pPr>
            <w:r w:rsidRPr="008F4325">
              <w:t>CUDAAdvisor [3]; Wu et al.; Benazir and Lin [8]; Apple MLX research</w:t>
            </w:r>
          </w:p>
        </w:tc>
        <w:tc>
          <w:tcPr>
            <w:tcW w:w="4340" w:type="dxa"/>
            <w:tcMar>
              <w:top w:w="70" w:type="dxa"/>
              <w:left w:w="70" w:type="dxa"/>
              <w:bottom w:w="70" w:type="dxa"/>
              <w:right w:w="70" w:type="dxa"/>
            </w:tcMar>
            <w:vAlign w:val="center"/>
          </w:tcPr>
          <w:p w14:paraId="2E60162B" w14:textId="77777777" w:rsidR="00267C49" w:rsidRPr="008F4325" w:rsidRDefault="00000000">
            <w:pPr>
              <w:spacing w:after="0"/>
            </w:pPr>
            <w:r w:rsidRPr="008F4325">
              <w:t>Explains how profiling, edge constraints, unified memory, and backend tools affect realized speed.</w:t>
            </w:r>
          </w:p>
        </w:tc>
      </w:tr>
      <w:tr w:rsidR="00267C49" w:rsidRPr="008F4325" w14:paraId="7F68ADD7" w14:textId="77777777">
        <w:trPr>
          <w:jc w:val="center"/>
        </w:trPr>
        <w:tc>
          <w:tcPr>
            <w:tcW w:w="1700" w:type="dxa"/>
            <w:tcMar>
              <w:top w:w="70" w:type="dxa"/>
              <w:left w:w="70" w:type="dxa"/>
              <w:bottom w:w="70" w:type="dxa"/>
              <w:right w:w="70" w:type="dxa"/>
            </w:tcMar>
            <w:vAlign w:val="center"/>
          </w:tcPr>
          <w:p w14:paraId="124E0167" w14:textId="77777777" w:rsidR="00267C49" w:rsidRPr="008F4325" w:rsidRDefault="00000000">
            <w:pPr>
              <w:spacing w:after="0"/>
            </w:pPr>
            <w:r w:rsidRPr="008F4325">
              <w:t>Serving and evaluation</w:t>
            </w:r>
          </w:p>
        </w:tc>
        <w:tc>
          <w:tcPr>
            <w:tcW w:w="2960" w:type="dxa"/>
            <w:tcMar>
              <w:top w:w="70" w:type="dxa"/>
              <w:left w:w="70" w:type="dxa"/>
              <w:bottom w:w="70" w:type="dxa"/>
              <w:right w:w="70" w:type="dxa"/>
            </w:tcMar>
            <w:vAlign w:val="center"/>
          </w:tcPr>
          <w:p w14:paraId="55989506" w14:textId="77777777" w:rsidR="00267C49" w:rsidRPr="008F4325" w:rsidRDefault="00000000">
            <w:pPr>
              <w:spacing w:after="0"/>
            </w:pPr>
            <w:r w:rsidRPr="008F4325">
              <w:t>PagedAttention [6]; MLPerf Inference; Schryen [7]</w:t>
            </w:r>
          </w:p>
        </w:tc>
        <w:tc>
          <w:tcPr>
            <w:tcW w:w="4340" w:type="dxa"/>
            <w:tcMar>
              <w:top w:w="70" w:type="dxa"/>
              <w:left w:w="70" w:type="dxa"/>
              <w:bottom w:w="70" w:type="dxa"/>
              <w:right w:w="70" w:type="dxa"/>
            </w:tcMar>
            <w:vAlign w:val="center"/>
          </w:tcPr>
          <w:p w14:paraId="5999E164" w14:textId="77777777" w:rsidR="00267C49" w:rsidRPr="008F4325" w:rsidRDefault="00000000">
            <w:pPr>
              <w:spacing w:after="0"/>
            </w:pPr>
            <w:r w:rsidRPr="008F4325">
              <w:t>Connects kernel gains to cache management, reproducible benchmarks, and valid speedup claims.</w:t>
            </w:r>
          </w:p>
        </w:tc>
      </w:tr>
    </w:tbl>
    <w:p w14:paraId="6DE1FC40" w14:textId="77777777" w:rsidR="00267C49" w:rsidRPr="008F4325" w:rsidRDefault="00000000">
      <w:pPr>
        <w:pStyle w:val="Heading2"/>
        <w:spacing w:before="600" w:after="360" w:line="360" w:lineRule="auto"/>
      </w:pPr>
      <w:r w:rsidRPr="008F4325">
        <w:lastRenderedPageBreak/>
        <w:t>1.2 Comparative discussion</w:t>
      </w:r>
    </w:p>
    <w:p w14:paraId="41EF6216" w14:textId="77777777" w:rsidR="008F4325" w:rsidRDefault="008F4325" w:rsidP="008F4325">
      <w:pPr>
        <w:pStyle w:val="Heading2"/>
        <w:spacing w:before="600" w:after="360" w:line="360" w:lineRule="auto"/>
      </w:pPr>
      <w:r>
        <w:t xml:space="preserve">Workload foundations. </w:t>
      </w:r>
      <w:r w:rsidRPr="008F4325">
        <w:rPr>
          <w:b w:val="0"/>
          <w:bCs w:val="0"/>
        </w:rPr>
        <w:t xml:space="preserve">In the systems research context, the parallel attention computation is defined by Vaswani et al. [1] and the reusability of this workload is brought by BERT by Devlin et al. Sze et al. [2] describe how part of the reason for energy and latency being such a function of data reuse and memory </w:t>
      </w:r>
      <w:proofErr w:type="gramStart"/>
      <w:r w:rsidRPr="008F4325">
        <w:rPr>
          <w:b w:val="0"/>
          <w:bCs w:val="0"/>
        </w:rPr>
        <w:t>access, and</w:t>
      </w:r>
      <w:proofErr w:type="gramEnd"/>
      <w:r w:rsidRPr="008F4325">
        <w:rPr>
          <w:b w:val="0"/>
          <w:bCs w:val="0"/>
        </w:rPr>
        <w:t xml:space="preserve"> explain their systems bridge. These studies together conclude the importance of their findings: that just counting instructions does not guarantee inference performance. They also encourage separate treatment for prefill (which runs many tokens simultaneously) and decode (which pulls weights, calls the ever-growing key value cache multiple times).</w:t>
      </w:r>
    </w:p>
    <w:p w14:paraId="1792CF45" w14:textId="77777777" w:rsidR="008F4325" w:rsidRPr="008F4325" w:rsidRDefault="008F4325" w:rsidP="008F4325">
      <w:pPr>
        <w:pStyle w:val="Heading2"/>
        <w:spacing w:before="600" w:after="360" w:line="360" w:lineRule="auto"/>
        <w:rPr>
          <w:b w:val="0"/>
          <w:bCs w:val="0"/>
        </w:rPr>
      </w:pPr>
      <w:r>
        <w:t xml:space="preserve">Efficiency of attention and memory. </w:t>
      </w:r>
      <w:proofErr w:type="spellStart"/>
      <w:r w:rsidRPr="008F4325">
        <w:rPr>
          <w:b w:val="0"/>
          <w:bCs w:val="0"/>
        </w:rPr>
        <w:t>FlashAttention</w:t>
      </w:r>
      <w:proofErr w:type="spellEnd"/>
      <w:r w:rsidRPr="008F4325">
        <w:rPr>
          <w:b w:val="0"/>
          <w:bCs w:val="0"/>
        </w:rPr>
        <w:t xml:space="preserve"> [5] preserves exact dense attention while tiling and fusing operations to reduce transfers between high bandwidth memory and on chip storage. </w:t>
      </w:r>
      <w:proofErr w:type="spellStart"/>
      <w:r w:rsidRPr="008F4325">
        <w:rPr>
          <w:b w:val="0"/>
          <w:bCs w:val="0"/>
        </w:rPr>
        <w:t>FlashAttention</w:t>
      </w:r>
      <w:proofErr w:type="spellEnd"/>
      <w:r w:rsidRPr="008F4325">
        <w:rPr>
          <w:b w:val="0"/>
          <w:bCs w:val="0"/>
        </w:rPr>
        <w:t xml:space="preserve"> 2 [5] has better work partitioning and </w:t>
      </w:r>
      <w:proofErr w:type="spellStart"/>
      <w:r w:rsidRPr="008F4325">
        <w:rPr>
          <w:b w:val="0"/>
          <w:bCs w:val="0"/>
        </w:rPr>
        <w:t>FlashAttention</w:t>
      </w:r>
      <w:proofErr w:type="spellEnd"/>
      <w:r w:rsidRPr="008F4325">
        <w:rPr>
          <w:b w:val="0"/>
          <w:bCs w:val="0"/>
        </w:rPr>
        <w:t xml:space="preserve"> 3 [5] takes advantage of asynchrony and reduced precision in Hopper. The sequence demonstrates that the concept has been portable at first, and since an increasing number of the implementations have become more dependent on the underlying architecture. Two other approaches that aim to resolve the long context issue include Native Sparse Attention [8] for reducing the number of token interactions, and LLM in a Flash [7] to swap the parameters between storage and memory. These studies are related as each one eliminates the need for unnecessary computation or translation in the corresponding memory level.</w:t>
      </w:r>
    </w:p>
    <w:p w14:paraId="76264568" w14:textId="77777777" w:rsidR="008F4325" w:rsidRPr="008F4325" w:rsidRDefault="008F4325" w:rsidP="008F4325">
      <w:pPr>
        <w:pStyle w:val="Heading2"/>
        <w:spacing w:before="600" w:after="360" w:line="360" w:lineRule="auto"/>
        <w:rPr>
          <w:b w:val="0"/>
          <w:bCs w:val="0"/>
        </w:rPr>
      </w:pPr>
      <w:r w:rsidRPr="008F4325">
        <w:rPr>
          <w:b w:val="0"/>
          <w:bCs w:val="0"/>
        </w:rPr>
        <w:lastRenderedPageBreak/>
        <w:t xml:space="preserve">Platforms, profiling and serving. The profiler measurements of memory reuse, divergence, utilization, and kernel time as mentioned in </w:t>
      </w:r>
      <w:proofErr w:type="spellStart"/>
      <w:r w:rsidRPr="008F4325">
        <w:rPr>
          <w:b w:val="0"/>
          <w:bCs w:val="0"/>
        </w:rPr>
        <w:t>CUDAAdvisor</w:t>
      </w:r>
      <w:proofErr w:type="spellEnd"/>
      <w:r w:rsidRPr="008F4325">
        <w:rPr>
          <w:b w:val="0"/>
          <w:bCs w:val="0"/>
        </w:rPr>
        <w:t xml:space="preserve"> [3] and survey on GPU optimization conducted by Mittal and </w:t>
      </w:r>
      <w:proofErr w:type="spellStart"/>
      <w:r w:rsidRPr="008F4325">
        <w:rPr>
          <w:b w:val="0"/>
          <w:bCs w:val="0"/>
        </w:rPr>
        <w:t>Vaishay</w:t>
      </w:r>
      <w:proofErr w:type="spellEnd"/>
      <w:r w:rsidRPr="008F4325">
        <w:rPr>
          <w:b w:val="0"/>
          <w:bCs w:val="0"/>
        </w:rPr>
        <w:t xml:space="preserve"> [4] are other important factors mentioned. Unified memory and quantization </w:t>
      </w:r>
      <w:proofErr w:type="spellStart"/>
      <w:r w:rsidRPr="008F4325">
        <w:rPr>
          <w:b w:val="0"/>
          <w:bCs w:val="0"/>
        </w:rPr>
        <w:t>behaviour</w:t>
      </w:r>
      <w:proofErr w:type="spellEnd"/>
      <w:r w:rsidRPr="008F4325">
        <w:rPr>
          <w:b w:val="0"/>
          <w:bCs w:val="0"/>
        </w:rPr>
        <w:t xml:space="preserve"> is extended to Apple Silicon in Benazir and Lin [8</w:t>
      </w:r>
      <w:proofErr w:type="gramStart"/>
      <w:r w:rsidRPr="008F4325">
        <w:rPr>
          <w:b w:val="0"/>
          <w:bCs w:val="0"/>
        </w:rPr>
        <w:t>]</w:t>
      </w:r>
      <w:proofErr w:type="gramEnd"/>
      <w:r w:rsidRPr="008F4325">
        <w:rPr>
          <w:b w:val="0"/>
          <w:bCs w:val="0"/>
        </w:rPr>
        <w:t xml:space="preserve"> and it can only be translated at system level. Apple's own research further suggests that there is a difference between compute constrained prompt processing and bandwidth constrained generation, by which I mean that the former isn't </w:t>
      </w:r>
      <w:proofErr w:type="gramStart"/>
      <w:r w:rsidRPr="008F4325">
        <w:rPr>
          <w:b w:val="0"/>
          <w:bCs w:val="0"/>
        </w:rPr>
        <w:t>a separate verified research</w:t>
      </w:r>
      <w:proofErr w:type="gramEnd"/>
      <w:r w:rsidRPr="008F4325">
        <w:rPr>
          <w:b w:val="0"/>
          <w:bCs w:val="0"/>
        </w:rPr>
        <w:t xml:space="preserve"> but rather evidence from the one platform. </w:t>
      </w:r>
      <w:proofErr w:type="spellStart"/>
      <w:r w:rsidRPr="008F4325">
        <w:rPr>
          <w:b w:val="0"/>
          <w:bCs w:val="0"/>
        </w:rPr>
        <w:t>PagedAttention</w:t>
      </w:r>
      <w:proofErr w:type="spellEnd"/>
      <w:r w:rsidRPr="008F4325">
        <w:rPr>
          <w:b w:val="0"/>
          <w:bCs w:val="0"/>
        </w:rPr>
        <w:t xml:space="preserve"> [6] augments kernel work by enabling better allocation and sharing of key value data in the key value cache, and Wu et al. demonstrate how the deployment of an edge can be impacted by operator support and hardware fragmentation. If the kernels executed in the flow are largely cache management, batching, and/or unsupported kernels, a faster attention kernel may allow for less of an application gain.</w:t>
      </w:r>
    </w:p>
    <w:p w14:paraId="7A1ADEB5" w14:textId="3541A197" w:rsidR="00267C49" w:rsidRPr="008F4325" w:rsidRDefault="008F4325" w:rsidP="008F4325">
      <w:pPr>
        <w:pStyle w:val="Heading2"/>
        <w:spacing w:before="600" w:after="360" w:line="360" w:lineRule="auto"/>
      </w:pPr>
      <w:r>
        <w:t xml:space="preserve">Evaluation methodology. </w:t>
      </w:r>
      <w:proofErr w:type="spellStart"/>
      <w:r w:rsidRPr="008F4325">
        <w:rPr>
          <w:b w:val="0"/>
          <w:bCs w:val="0"/>
        </w:rPr>
        <w:t>MLPerf</w:t>
      </w:r>
      <w:proofErr w:type="spellEnd"/>
      <w:r w:rsidRPr="008F4325">
        <w:rPr>
          <w:b w:val="0"/>
          <w:bCs w:val="0"/>
        </w:rPr>
        <w:t xml:space="preserve"> Inference illustrates the necessity of scenarios, constraints on quality, software versions declared and repeatable rules for running. The explanation for slowdown due to serial work and overhead is given in </w:t>
      </w:r>
      <w:proofErr w:type="spellStart"/>
      <w:r w:rsidRPr="008F4325">
        <w:rPr>
          <w:b w:val="0"/>
          <w:bCs w:val="0"/>
        </w:rPr>
        <w:t>Schryen's</w:t>
      </w:r>
      <w:proofErr w:type="spellEnd"/>
      <w:r w:rsidRPr="008F4325">
        <w:rPr>
          <w:b w:val="0"/>
          <w:bCs w:val="0"/>
        </w:rPr>
        <w:t xml:space="preserve"> analysis of parallel speedup [7]. A within platform comparison is encouraged: The optimal performance of each CUDA or Metal path should be compared to the native default path on that platform with the same model, precision, batch size, and sequence length. Absolute platform cross numbers can be reported but they shouldn't be used as a marketing measure for the API.</w:t>
      </w:r>
      <w:r w:rsidR="00000000" w:rsidRPr="008F4325">
        <w:rPr>
          <w:b w:val="0"/>
          <w:bCs w:val="0"/>
        </w:rPr>
        <w:t>1.3 Key insights research gaps and thesis contribution</w:t>
      </w:r>
    </w:p>
    <w:p w14:paraId="5261A9B6" w14:textId="77777777" w:rsidR="008F4325" w:rsidRPr="008F4325" w:rsidRDefault="008F4325" w:rsidP="008F4325">
      <w:pPr>
        <w:pStyle w:val="NormalWeb"/>
        <w:spacing w:line="360" w:lineRule="auto"/>
      </w:pPr>
      <w:r w:rsidRPr="008F4325">
        <w:t>There are three primary findings from the literature. Memory traffic and data residency can be as important as arithmetic, first. Secondly, the prefill and predecoding tasks should be separate from each other as they involve different resources. Third, optimization benefits diminish as more implementations become dependent on specific execution capabilities in the back-end. The best CUDA papers include the details of the kernel mechanisms and newer Apple studies provide evidence of the system level aspects of unified memory and Metal based execution.</w:t>
      </w:r>
    </w:p>
    <w:p w14:paraId="07B88423" w14:textId="77777777" w:rsidR="008F4325" w:rsidRPr="008F4325" w:rsidRDefault="008F4325" w:rsidP="008F4325">
      <w:pPr>
        <w:pStyle w:val="NormalWeb"/>
        <w:spacing w:line="360" w:lineRule="auto"/>
      </w:pPr>
      <w:r w:rsidRPr="008F4325">
        <w:lastRenderedPageBreak/>
        <w:t>Between these two collections of pieces there is a central one. Only a few studies do this, and none of them have done so for CUDA, Metal, prefill and decode, nor have they explained the difference using profiler evidence. There is also no one standard level reporting for metal studies, and some of the Apple results combine Metal GPU, Core ML and Apple Neural Engine execution paths.</w:t>
      </w:r>
    </w:p>
    <w:p w14:paraId="4CB1DE19" w14:textId="5DFB8763" w:rsidR="008F4325" w:rsidRPr="008F4325" w:rsidRDefault="008F4325" w:rsidP="008F4325">
      <w:pPr>
        <w:pStyle w:val="NormalWeb"/>
        <w:spacing w:line="360" w:lineRule="auto"/>
      </w:pPr>
      <w:r w:rsidRPr="008F4325">
        <w:t>The beauty of the proposed thesis is that one platform doesn't necessarily have to be faster, but that the study is controlled. The stud</w:t>
      </w:r>
      <w:r>
        <w:t>ies</w:t>
      </w:r>
      <w:r w:rsidRPr="008F4325">
        <w:t xml:space="preserve"> compare the baseline and fused input output aware attention paths for each backend</w:t>
      </w:r>
      <w:r>
        <w:t xml:space="preserve">. It </w:t>
      </w:r>
      <w:r w:rsidRPr="008F4325">
        <w:t>show</w:t>
      </w:r>
      <w:r>
        <w:t>s</w:t>
      </w:r>
      <w:r w:rsidRPr="008F4325">
        <w:t xml:space="preserve"> he numbers are the same for each backend, and provide latency, throughput, memory usage and profiler counters per phase. The expected contribution is a reproducible CUDA and Metal evaluation method, a portability matrix of which principles are available to be used as is, and which need to be reformulated at the backend and which are not measurable and therefore do not contribute.</w:t>
      </w:r>
    </w:p>
    <w:p w14:paraId="55DCA2D2" w14:textId="77777777" w:rsidR="00267C49" w:rsidRPr="008F4325" w:rsidRDefault="00000000">
      <w:pPr>
        <w:pStyle w:val="Heading2"/>
        <w:spacing w:before="600" w:after="360" w:line="360" w:lineRule="auto"/>
      </w:pPr>
      <w:r w:rsidRPr="008F4325">
        <w:t>References</w:t>
      </w:r>
    </w:p>
    <w:p w14:paraId="0C5F411D" w14:textId="77777777" w:rsidR="00267C49" w:rsidRPr="008F4325" w:rsidRDefault="00000000">
      <w:pPr>
        <w:spacing w:after="0" w:line="300" w:lineRule="auto"/>
        <w:ind w:left="360" w:hanging="360"/>
      </w:pPr>
      <w:r w:rsidRPr="008F4325">
        <w:t>[1] Vaswani et al. (2017), Attention Is All You Need, NeurIPS.</w:t>
      </w:r>
    </w:p>
    <w:p w14:paraId="3D519B73" w14:textId="77777777" w:rsidR="00267C49" w:rsidRPr="008F4325" w:rsidRDefault="00000000">
      <w:pPr>
        <w:spacing w:after="0" w:line="300" w:lineRule="auto"/>
        <w:ind w:left="360" w:hanging="360"/>
      </w:pPr>
      <w:r w:rsidRPr="008F4325">
        <w:t>[2] Sze et al. (2017), Efficient Processing of Deep Neural Networks, Proceedings of the IEEE.</w:t>
      </w:r>
    </w:p>
    <w:p w14:paraId="7EC5612B" w14:textId="77777777" w:rsidR="00267C49" w:rsidRPr="008F4325" w:rsidRDefault="00000000">
      <w:pPr>
        <w:spacing w:after="0" w:line="300" w:lineRule="auto"/>
        <w:ind w:left="360" w:hanging="360"/>
      </w:pPr>
      <w:r w:rsidRPr="008F4325">
        <w:t>[3] Shen et al. (2018), CUDAAdvisor, CGO.</w:t>
      </w:r>
    </w:p>
    <w:p w14:paraId="752D9904" w14:textId="77777777" w:rsidR="00267C49" w:rsidRPr="008F4325" w:rsidRDefault="00000000">
      <w:pPr>
        <w:spacing w:after="0" w:line="360" w:lineRule="auto"/>
        <w:jc w:val="both"/>
      </w:pPr>
      <w:r w:rsidRPr="008F4325">
        <w:t>[4] Mittal and Vaishay (2019), Survey of Techniques for Optimizing Deep Learning on GPUs, Journal of Systems Architecture.</w:t>
      </w:r>
    </w:p>
    <w:p w14:paraId="71542BF5" w14:textId="77777777" w:rsidR="00267C49" w:rsidRPr="008F4325" w:rsidRDefault="00000000">
      <w:pPr>
        <w:spacing w:after="0" w:line="300" w:lineRule="auto"/>
        <w:ind w:left="360" w:hanging="360"/>
      </w:pPr>
      <w:r w:rsidRPr="008F4325">
        <w:t>[5] Dao et al. (2022), FlashAttention, NeurIPS; Dao (2024), FlashAttention 2, ICLR; Shah et al. (2024), FlashAttention 3, NeurIPS.</w:t>
      </w:r>
    </w:p>
    <w:p w14:paraId="4527396F" w14:textId="77777777" w:rsidR="00267C49" w:rsidRPr="008F4325" w:rsidRDefault="00000000">
      <w:pPr>
        <w:spacing w:after="0" w:line="300" w:lineRule="auto"/>
        <w:ind w:left="360" w:hanging="360"/>
      </w:pPr>
      <w:r w:rsidRPr="008F4325">
        <w:t>[6] Kwon et al. (2023), Efficient Memory Management for LLM Serving with PagedAttention, SOSP.</w:t>
      </w:r>
    </w:p>
    <w:p w14:paraId="0CD332AA" w14:textId="77777777" w:rsidR="00267C49" w:rsidRPr="008F4325" w:rsidRDefault="00000000">
      <w:pPr>
        <w:spacing w:after="0" w:line="300" w:lineRule="auto"/>
        <w:ind w:left="360" w:hanging="360"/>
      </w:pPr>
      <w:r w:rsidRPr="008F4325">
        <w:t>[7] Alizadeh et al. (2024), LLM in a Flash, ACL; Schryen (2024), Speedup and Efficiency of Computational Parallelization, JPDC.</w:t>
      </w:r>
    </w:p>
    <w:p w14:paraId="1D4B6758" w14:textId="77777777" w:rsidR="00267C49" w:rsidRPr="008F4325" w:rsidRDefault="00000000">
      <w:pPr>
        <w:spacing w:after="0" w:line="300" w:lineRule="auto"/>
        <w:ind w:left="360" w:hanging="360"/>
      </w:pPr>
      <w:r w:rsidRPr="008F4325">
        <w:t>[8] Yuan et al. (2025), Native Sparse Attention, ACL; Benazir and Lin (2025), LLM Inference on Apple Silicon, ACM PACM MACS.</w:t>
      </w:r>
    </w:p>
    <w:sectPr w:rsidR="00267C49" w:rsidRPr="008F4325">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068E36" w14:textId="77777777" w:rsidR="00842667" w:rsidRDefault="00842667">
      <w:pPr>
        <w:spacing w:after="0"/>
      </w:pPr>
      <w:r>
        <w:separator/>
      </w:r>
    </w:p>
  </w:endnote>
  <w:endnote w:type="continuationSeparator" w:id="0">
    <w:p w14:paraId="1B694C67" w14:textId="77777777" w:rsidR="00842667" w:rsidRDefault="008426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E0026" w14:textId="77777777" w:rsidR="00267C49" w:rsidRDefault="00000000">
    <w:pPr>
      <w:jc w:val="center"/>
    </w:pPr>
    <w:r>
      <w:fldChar w:fldCharType="begin"/>
    </w:r>
    <w:r>
      <w:instrText>PAGE</w:instrText>
    </w:r>
    <w:r w:rsidR="008F4325">
      <w:fldChar w:fldCharType="separate"/>
    </w:r>
    <w:r w:rsidR="008F43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FBA606" w14:textId="77777777" w:rsidR="00842667" w:rsidRDefault="00842667">
      <w:pPr>
        <w:spacing w:after="0"/>
      </w:pPr>
      <w:r>
        <w:separator/>
      </w:r>
    </w:p>
  </w:footnote>
  <w:footnote w:type="continuationSeparator" w:id="0">
    <w:p w14:paraId="699825FE" w14:textId="77777777" w:rsidR="00842667" w:rsidRDefault="008426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7C6D8" w14:textId="77777777" w:rsidR="00267C49" w:rsidRDefault="00267C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653890">
    <w:abstractNumId w:val="8"/>
  </w:num>
  <w:num w:numId="2" w16cid:durableId="1771966525">
    <w:abstractNumId w:val="6"/>
  </w:num>
  <w:num w:numId="3" w16cid:durableId="1023895009">
    <w:abstractNumId w:val="5"/>
  </w:num>
  <w:num w:numId="4" w16cid:durableId="1098671619">
    <w:abstractNumId w:val="4"/>
  </w:num>
  <w:num w:numId="5" w16cid:durableId="941257282">
    <w:abstractNumId w:val="7"/>
  </w:num>
  <w:num w:numId="6" w16cid:durableId="1844587124">
    <w:abstractNumId w:val="3"/>
  </w:num>
  <w:num w:numId="7" w16cid:durableId="780802199">
    <w:abstractNumId w:val="2"/>
  </w:num>
  <w:num w:numId="8" w16cid:durableId="1347249300">
    <w:abstractNumId w:val="1"/>
  </w:num>
  <w:num w:numId="9" w16cid:durableId="2558696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C49"/>
    <w:rsid w:val="0029639D"/>
    <w:rsid w:val="00326F90"/>
    <w:rsid w:val="00821F07"/>
    <w:rsid w:val="00842667"/>
    <w:rsid w:val="008F43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615B3"/>
  <w14:defaultImageDpi w14:val="300"/>
  <w15:docId w15:val="{B0F2C600-6753-3B42-8DCE-2CEF895B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style>
  <w:style w:type="paragraph" w:styleId="Heading1">
    <w:name w:val="heading 1"/>
    <w:basedOn w:val="Normal"/>
    <w:next w:val="Normal"/>
    <w:link w:val="Heading1Char"/>
    <w:uiPriority w:val="9"/>
    <w:qFormat/>
    <w:rsid w:val="00FC693F"/>
    <w:pPr>
      <w:keepNext/>
      <w:keepLines/>
      <w:spacing w:before="100"/>
      <w:outlineLvl w:val="0"/>
    </w:pPr>
    <w:rPr>
      <w:b/>
      <w:bCs/>
    </w:rPr>
  </w:style>
  <w:style w:type="paragraph" w:styleId="Heading2">
    <w:name w:val="heading 2"/>
    <w:basedOn w:val="Normal"/>
    <w:next w:val="Normal"/>
    <w:link w:val="Heading2Char"/>
    <w:uiPriority w:val="9"/>
    <w:unhideWhenUsed/>
    <w:qFormat/>
    <w:rsid w:val="00FC693F"/>
    <w:pPr>
      <w:keepNext/>
      <w:keepLines/>
      <w:spacing w:before="100"/>
      <w:outlineLvl w:val="1"/>
    </w:pPr>
    <w:rPr>
      <w:b/>
      <w:bCs/>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4"/>
      <w:szCs w:val="24"/>
    </w:rPr>
  </w:style>
  <w:style w:type="paragraph" w:styleId="Title">
    <w:name w:val="Title"/>
    <w:basedOn w:val="Normal"/>
    <w:next w:val="Normal"/>
    <w:link w:val="TitleChar"/>
    <w:uiPriority w:val="10"/>
    <w:qFormat/>
    <w:rsid w:val="00FC693F"/>
    <w:pPr>
      <w:keepNext/>
      <w:spacing w:before="100"/>
      <w:contextualSpacing/>
    </w:pPr>
    <w:rPr>
      <w:b/>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4"/>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4"/>
      <w:szCs w:val="24"/>
    </w:rPr>
  </w:style>
  <w:style w:type="paragraph" w:styleId="Caption">
    <w:name w:val="caption"/>
    <w:basedOn w:val="Normal"/>
    <w:next w:val="Normal"/>
    <w:uiPriority w:val="35"/>
    <w:semiHidden/>
    <w:unhideWhenUsed/>
    <w:qFormat/>
    <w:rsid w:val="00FC693F"/>
    <w:rPr>
      <w:b/>
      <w:bCs/>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szCs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szCs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szCs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szCs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szCs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szCs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sz w:val="24"/>
        <w:szCs w:val="24"/>
      </w:rPr>
      <w:tblPr/>
      <w:tcPr>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sz w:val="24"/>
        <w:szCs w:val="24"/>
      </w:rPr>
      <w:tblPr/>
      <w:tcPr>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sz w:val="24"/>
        <w:szCs w:val="24"/>
      </w:rPr>
      <w:tblPr/>
      <w:tcPr>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sz w:val="24"/>
        <w:szCs w:val="24"/>
      </w:rPr>
      <w:tblPr/>
      <w:tcPr>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sz w:val="24"/>
        <w:szCs w:val="24"/>
      </w:rPr>
      <w:tblPr/>
      <w:tcPr>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sz w:val="24"/>
        <w:szCs w:val="24"/>
      </w:rPr>
      <w:tblPr/>
      <w:tcPr>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sz w:val="24"/>
        <w:szCs w:val="24"/>
      </w:rPr>
      <w:tblPr/>
      <w:tcPr>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eastAsia="Times New Roman" w:hAnsi="Times New Roman" w:cs="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eastAsia="Times New Roman" w:hAnsi="Times New Roman" w:cs="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eastAsia="Times New Roman" w:hAnsi="Times New Roman" w:cs="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eastAsia="Times New Roman" w:hAnsi="Times New Roman" w:cs="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eastAsia="Times New Roman" w:hAnsi="Times New Roman" w:cs="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eastAsia="Times New Roman" w:hAnsi="Times New Roman" w:cs="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eastAsia="Times New Roman" w:hAnsi="Times New Roman" w:cs="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color w:val="000000"/>
        <w:sz w:val="24"/>
        <w:szCs w:val="24"/>
      </w:rPr>
      <w:tblPr/>
      <w:tcPr>
        <w:tcBorders>
          <w:top w:val="nil"/>
          <w:bottom w:val="single" w:sz="8" w:space="0" w:color="000000" w:themeColor="text1"/>
        </w:tcBorders>
      </w:tcPr>
    </w:tblStylePr>
    <w:tblStylePr w:type="lastRow">
      <w:rPr>
        <w:rFonts w:ascii="Times New Roman" w:eastAsia="Times New Roman" w:hAnsi="Times New Roman" w:cs="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color w:val="000000"/>
        <w:sz w:val="24"/>
        <w:szCs w:val="24"/>
      </w:rPr>
      <w:tblPr/>
      <w:tcPr>
        <w:tcBorders>
          <w:top w:val="nil"/>
          <w:bottom w:val="single" w:sz="8" w:space="0" w:color="4F81BD" w:themeColor="accent1"/>
        </w:tcBorders>
      </w:tcPr>
    </w:tblStylePr>
    <w:tblStylePr w:type="lastRow">
      <w:rPr>
        <w:rFonts w:ascii="Times New Roman" w:eastAsia="Times New Roman" w:hAnsi="Times New Roman" w:cs="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color w:val="000000"/>
        <w:sz w:val="24"/>
        <w:szCs w:val="24"/>
      </w:rPr>
      <w:tblPr/>
      <w:tcPr>
        <w:tcBorders>
          <w:top w:val="nil"/>
          <w:bottom w:val="single" w:sz="8" w:space="0" w:color="C0504D" w:themeColor="accent2"/>
        </w:tcBorders>
      </w:tcPr>
    </w:tblStylePr>
    <w:tblStylePr w:type="lastRow">
      <w:rPr>
        <w:rFonts w:ascii="Times New Roman" w:eastAsia="Times New Roman" w:hAnsi="Times New Roman" w:cs="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color w:val="000000"/>
        <w:sz w:val="24"/>
        <w:szCs w:val="24"/>
      </w:rPr>
      <w:tblPr/>
      <w:tcPr>
        <w:tcBorders>
          <w:top w:val="nil"/>
          <w:bottom w:val="single" w:sz="8" w:space="0" w:color="9BBB59" w:themeColor="accent3"/>
        </w:tcBorders>
      </w:tcPr>
    </w:tblStylePr>
    <w:tblStylePr w:type="lastRow">
      <w:rPr>
        <w:rFonts w:ascii="Times New Roman" w:eastAsia="Times New Roman" w:hAnsi="Times New Roman" w:cs="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color w:val="000000"/>
        <w:sz w:val="24"/>
        <w:szCs w:val="24"/>
      </w:rPr>
      <w:tblPr/>
      <w:tcPr>
        <w:tcBorders>
          <w:top w:val="nil"/>
          <w:bottom w:val="single" w:sz="8" w:space="0" w:color="8064A2" w:themeColor="accent4"/>
        </w:tcBorders>
      </w:tcPr>
    </w:tblStylePr>
    <w:tblStylePr w:type="lastRow">
      <w:rPr>
        <w:rFonts w:ascii="Times New Roman" w:eastAsia="Times New Roman" w:hAnsi="Times New Roman" w:cs="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color w:val="000000"/>
        <w:sz w:val="24"/>
        <w:szCs w:val="24"/>
      </w:rPr>
      <w:tblPr/>
      <w:tcPr>
        <w:tcBorders>
          <w:top w:val="nil"/>
          <w:bottom w:val="single" w:sz="8" w:space="0" w:color="4BACC6" w:themeColor="accent5"/>
        </w:tcBorders>
      </w:tcPr>
    </w:tblStylePr>
    <w:tblStylePr w:type="lastRow">
      <w:rPr>
        <w:rFonts w:ascii="Times New Roman" w:eastAsia="Times New Roman" w:hAnsi="Times New Roman" w:cs="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color w:val="000000"/>
        <w:sz w:val="24"/>
        <w:szCs w:val="24"/>
      </w:rPr>
      <w:tblPr/>
      <w:tcPr>
        <w:tcBorders>
          <w:top w:val="nil"/>
          <w:bottom w:val="single" w:sz="8" w:space="0" w:color="F79646" w:themeColor="accent6"/>
        </w:tcBorders>
      </w:tcPr>
    </w:tblStylePr>
    <w:tblStylePr w:type="lastRow">
      <w:rPr>
        <w:rFonts w:ascii="Times New Roman" w:eastAsia="Times New Roman" w:hAnsi="Times New Roman" w:cs="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eastAsia="Times New Roman" w:hAnsi="Times New Roman" w:cs="Times New Roman"/>
        <w:b/>
        <w:bCs/>
        <w:color w:val="000000"/>
        <w:sz w:val="24"/>
        <w:szCs w:val="24"/>
      </w:rPr>
    </w:tblStylePr>
    <w:tblStylePr w:type="lastRow">
      <w:rPr>
        <w:rFonts w:ascii="Times New Roman" w:eastAsia="Times New Roman" w:hAnsi="Times New Roman" w:cs="Times New Roman"/>
        <w:b/>
        <w:bCs/>
        <w:color w:val="000000"/>
        <w:sz w:val="24"/>
        <w:szCs w:val="24"/>
      </w:rPr>
      <w:tblPr/>
      <w:tcPr>
        <w:tcBorders>
          <w:top w:val="single" w:sz="18" w:space="0" w:color="404040" w:themeColor="text1" w:themeTint="BF"/>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eastAsia="Times New Roman" w:hAnsi="Times New Roman" w:cs="Times New Roman"/>
        <w:b/>
        <w:bCs/>
        <w:color w:val="000000"/>
        <w:sz w:val="24"/>
        <w:szCs w:val="24"/>
      </w:rPr>
    </w:tblStylePr>
    <w:tblStylePr w:type="lastRow">
      <w:rPr>
        <w:rFonts w:ascii="Times New Roman" w:eastAsia="Times New Roman" w:hAnsi="Times New Roman" w:cs="Times New Roman"/>
        <w:b/>
        <w:bCs/>
        <w:color w:val="000000"/>
        <w:sz w:val="24"/>
        <w:szCs w:val="24"/>
      </w:rPr>
      <w:tblPr/>
      <w:tcPr>
        <w:tcBorders>
          <w:top w:val="single" w:sz="18" w:space="0" w:color="7BA0CD" w:themeColor="accent1" w:themeTint="BF"/>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eastAsia="Times New Roman" w:hAnsi="Times New Roman" w:cs="Times New Roman"/>
        <w:b/>
        <w:bCs/>
        <w:color w:val="000000"/>
        <w:sz w:val="24"/>
        <w:szCs w:val="24"/>
      </w:rPr>
    </w:tblStylePr>
    <w:tblStylePr w:type="lastRow">
      <w:rPr>
        <w:rFonts w:ascii="Times New Roman" w:eastAsia="Times New Roman" w:hAnsi="Times New Roman" w:cs="Times New Roman"/>
        <w:b/>
        <w:bCs/>
        <w:color w:val="000000"/>
        <w:sz w:val="24"/>
        <w:szCs w:val="24"/>
      </w:rPr>
      <w:tblPr/>
      <w:tcPr>
        <w:tcBorders>
          <w:top w:val="single" w:sz="18" w:space="0" w:color="CF7B79" w:themeColor="accent2" w:themeTint="BF"/>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eastAsia="Times New Roman" w:hAnsi="Times New Roman" w:cs="Times New Roman"/>
        <w:b/>
        <w:bCs/>
        <w:color w:val="000000"/>
        <w:sz w:val="24"/>
        <w:szCs w:val="24"/>
      </w:rPr>
    </w:tblStylePr>
    <w:tblStylePr w:type="lastRow">
      <w:rPr>
        <w:rFonts w:ascii="Times New Roman" w:eastAsia="Times New Roman" w:hAnsi="Times New Roman" w:cs="Times New Roman"/>
        <w:b/>
        <w:bCs/>
        <w:color w:val="000000"/>
        <w:sz w:val="24"/>
        <w:szCs w:val="24"/>
      </w:rPr>
      <w:tblPr/>
      <w:tcPr>
        <w:tcBorders>
          <w:top w:val="single" w:sz="18" w:space="0" w:color="B3CC82" w:themeColor="accent3" w:themeTint="BF"/>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eastAsia="Times New Roman" w:hAnsi="Times New Roman" w:cs="Times New Roman"/>
        <w:b/>
        <w:bCs/>
        <w:color w:val="000000"/>
        <w:sz w:val="24"/>
        <w:szCs w:val="24"/>
      </w:rPr>
    </w:tblStylePr>
    <w:tblStylePr w:type="lastRow">
      <w:rPr>
        <w:rFonts w:ascii="Times New Roman" w:eastAsia="Times New Roman" w:hAnsi="Times New Roman" w:cs="Times New Roman"/>
        <w:b/>
        <w:bCs/>
        <w:color w:val="000000"/>
        <w:sz w:val="24"/>
        <w:szCs w:val="24"/>
      </w:rPr>
      <w:tblPr/>
      <w:tcPr>
        <w:tcBorders>
          <w:top w:val="single" w:sz="18" w:space="0" w:color="9F8AB9" w:themeColor="accent4" w:themeTint="BF"/>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eastAsia="Times New Roman" w:hAnsi="Times New Roman" w:cs="Times New Roman"/>
        <w:b/>
        <w:bCs/>
        <w:color w:val="000000"/>
        <w:sz w:val="24"/>
        <w:szCs w:val="24"/>
      </w:rPr>
    </w:tblStylePr>
    <w:tblStylePr w:type="lastRow">
      <w:rPr>
        <w:rFonts w:ascii="Times New Roman" w:eastAsia="Times New Roman" w:hAnsi="Times New Roman" w:cs="Times New Roman"/>
        <w:b/>
        <w:bCs/>
        <w:color w:val="000000"/>
        <w:sz w:val="24"/>
        <w:szCs w:val="24"/>
      </w:rPr>
      <w:tblPr/>
      <w:tcPr>
        <w:tcBorders>
          <w:top w:val="single" w:sz="18" w:space="0" w:color="78C0D4" w:themeColor="accent5" w:themeTint="BF"/>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eastAsia="Times New Roman" w:hAnsi="Times New Roman" w:cs="Times New Roman"/>
        <w:b/>
        <w:bCs/>
        <w:color w:val="000000"/>
        <w:sz w:val="24"/>
        <w:szCs w:val="24"/>
      </w:rPr>
    </w:tblStylePr>
    <w:tblStylePr w:type="lastRow">
      <w:rPr>
        <w:rFonts w:ascii="Times New Roman" w:eastAsia="Times New Roman" w:hAnsi="Times New Roman" w:cs="Times New Roman"/>
        <w:b/>
        <w:bCs/>
        <w:color w:val="000000"/>
        <w:sz w:val="24"/>
        <w:szCs w:val="24"/>
      </w:rPr>
      <w:tblPr/>
      <w:tcPr>
        <w:tcBorders>
          <w:top w:val="single" w:sz="18" w:space="0" w:color="F9B074" w:themeColor="accent6" w:themeTint="BF"/>
        </w:tcBorders>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eastAsia="Times New Roman" w:hAnsi="Times New Roman" w:cs="Times New Roman"/>
        <w:b/>
        <w:bCs/>
        <w:color w:val="000000"/>
        <w:sz w:val="24"/>
        <w:szCs w:val="24"/>
      </w:rPr>
      <w:tblPr/>
      <w:tcPr>
        <w:shd w:val="clear" w:color="auto" w:fill="E6E6E6" w:themeFill="text1" w:themeFillTint="19"/>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eastAsia="Times New Roman" w:hAnsi="Times New Roman" w:cs="Times New Roman"/>
        <w:b/>
        <w:bCs/>
        <w:color w:val="000000"/>
        <w:sz w:val="24"/>
        <w:szCs w:val="24"/>
      </w:rPr>
      <w:tblPr/>
      <w:tcPr>
        <w:shd w:val="clear" w:color="auto" w:fill="EDF2F8" w:themeFill="accent1" w:themeFillTint="19"/>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eastAsia="Times New Roman" w:hAnsi="Times New Roman" w:cs="Times New Roman"/>
        <w:b/>
        <w:bCs/>
        <w:color w:val="000000"/>
        <w:sz w:val="24"/>
        <w:szCs w:val="24"/>
      </w:rPr>
      <w:tblPr/>
      <w:tcPr>
        <w:shd w:val="clear" w:color="auto" w:fill="F8EDED" w:themeFill="accent2" w:themeFillTint="19"/>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eastAsia="Times New Roman" w:hAnsi="Times New Roman" w:cs="Times New Roman"/>
        <w:b/>
        <w:bCs/>
        <w:color w:val="000000"/>
        <w:sz w:val="24"/>
        <w:szCs w:val="24"/>
      </w:rPr>
      <w:tblPr/>
      <w:tcPr>
        <w:shd w:val="clear" w:color="auto" w:fill="F5F8EE" w:themeFill="accent3" w:themeFillTint="19"/>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eastAsia="Times New Roman" w:hAnsi="Times New Roman" w:cs="Times New Roman"/>
        <w:b/>
        <w:bCs/>
        <w:color w:val="000000"/>
        <w:sz w:val="24"/>
        <w:szCs w:val="24"/>
      </w:rPr>
      <w:tblPr/>
      <w:tcPr>
        <w:shd w:val="clear" w:color="auto" w:fill="F2EFF6" w:themeFill="accent4" w:themeFillTint="19"/>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eastAsia="Times New Roman" w:hAnsi="Times New Roman" w:cs="Times New Roman"/>
        <w:b/>
        <w:bCs/>
        <w:color w:val="000000"/>
        <w:sz w:val="24"/>
        <w:szCs w:val="24"/>
      </w:rPr>
      <w:tblPr/>
      <w:tcPr>
        <w:shd w:val="clear" w:color="auto" w:fill="EDF6F9" w:themeFill="accent5" w:themeFillTint="19"/>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eastAsia="Times New Roman" w:hAnsi="Times New Roman" w:cs="Times New Roman"/>
        <w:b/>
        <w:bCs/>
        <w:color w:val="000000"/>
        <w:sz w:val="24"/>
        <w:szCs w:val="24"/>
      </w:rPr>
      <w:tblPr/>
      <w:tcPr>
        <w:shd w:val="clear" w:color="auto" w:fill="FEF4EC" w:themeFill="accent6" w:themeFillTint="19"/>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eastAsia="Times New Roman" w:hAnsi="Times New Roman" w:cs="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eastAsia="Times New Roman" w:hAnsi="Times New Roman" w:cs="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eastAsia="Times New Roman" w:hAnsi="Times New Roman" w:cs="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eastAsia="Times New Roman" w:hAnsi="Times New Roman" w:cs="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eastAsia="Times New Roman" w:hAnsi="Times New Roman" w:cs="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eastAsia="Times New Roman" w:hAnsi="Times New Roman" w:cs="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eastAsia="Times New Roman" w:hAnsi="Times New Roman" w:cs="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eastAsia="Times New Roman" w:hAnsi="Times New Roman" w:cs="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eastAsia="Times New Roman" w:hAnsi="Times New Roman" w:cs="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eastAsia="Times New Roman" w:hAnsi="Times New Roman" w:cs="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eastAsia="Times New Roman" w:hAnsi="Times New Roman" w:cs="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eastAsia="Times New Roman" w:hAnsi="Times New Roman" w:cs="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eastAsia="Times New Roman" w:hAnsi="Times New Roman" w:cs="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eastAsia="Times New Roman" w:hAnsi="Times New Roman" w:cs="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eastAsia="Times New Roman" w:hAnsi="Times New Roman" w:cs="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eastAsia="Times New Roman" w:hAnsi="Times New Roman" w:cs="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eastAsia="Times New Roman" w:hAnsi="Times New Roman" w:cs="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eastAsia="Times New Roman" w:hAnsi="Times New Roman" w:cs="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eastAsia="Times New Roman" w:hAnsi="Times New Roman" w:cs="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eastAsia="Times New Roman" w:hAnsi="Times New Roman" w:cs="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eastAsia="Times New Roman" w:hAnsi="Times New Roman" w:cs="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eastAsia="Times New Roman" w:hAnsi="Times New Roman" w:cs="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eastAsia="Times New Roman" w:hAnsi="Times New Roman" w:cs="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eastAsia="Times New Roman" w:hAnsi="Times New Roman" w:cs="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eastAsia="Times New Roman" w:hAnsi="Times New Roman" w:cs="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eastAsia="Times New Roman" w:hAnsi="Times New Roman" w:cs="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eastAsia="Times New Roman" w:hAnsi="Times New Roman" w:cs="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eastAsia="Times New Roman" w:hAnsi="Times New Roman" w:cs="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rFonts w:ascii="Times New Roman" w:eastAsia="Times New Roman" w:hAnsi="Times New Roman" w:cs="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rFonts w:ascii="Times New Roman" w:eastAsia="Times New Roman" w:hAnsi="Times New Roman" w:cs="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rFonts w:ascii="Times New Roman" w:eastAsia="Times New Roman" w:hAnsi="Times New Roman" w:cs="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rFonts w:ascii="Times New Roman" w:eastAsia="Times New Roman" w:hAnsi="Times New Roman" w:cs="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rFonts w:ascii="Times New Roman" w:eastAsia="Times New Roman" w:hAnsi="Times New Roman" w:cs="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rFonts w:ascii="Times New Roman" w:eastAsia="Times New Roman" w:hAnsi="Times New Roman" w:cs="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rFonts w:ascii="Times New Roman" w:eastAsia="Times New Roman" w:hAnsi="Times New Roman" w:cs="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eastAsia="Times New Roman" w:hAnsi="Times New Roman" w:cs="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eastAsia="Times New Roman" w:hAnsi="Times New Roman" w:cs="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eastAsia="Times New Roman" w:hAnsi="Times New Roman" w:cs="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eastAsia="Times New Roman" w:hAnsi="Times New Roman" w:cs="Times New Roman"/>
        <w:color w:val="000000"/>
        <w:sz w:val="24"/>
        <w:szCs w:val="24"/>
      </w:rPr>
    </w:tblStylePr>
    <w:tblStylePr w:type="nwCell">
      <w:rPr>
        <w:rFonts w:ascii="Times New Roman" w:eastAsia="Times New Roman" w:hAnsi="Times New Roman" w:cs="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eastAsia="Times New Roman" w:hAnsi="Times New Roman" w:cs="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eastAsia="Times New Roman" w:hAnsi="Times New Roman" w:cs="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eastAsia="Times New Roman" w:hAnsi="Times New Roman" w:cs="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eastAsia="Times New Roman" w:hAnsi="Times New Roman" w:cs="Times New Roman"/>
        <w:color w:val="000000"/>
        <w:sz w:val="24"/>
        <w:szCs w:val="24"/>
      </w:rPr>
    </w:tblStylePr>
    <w:tblStylePr w:type="nwCell">
      <w:rPr>
        <w:rFonts w:ascii="Times New Roman" w:eastAsia="Times New Roman" w:hAnsi="Times New Roman" w:cs="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eastAsia="Times New Roman" w:hAnsi="Times New Roman" w:cs="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eastAsia="Times New Roman" w:hAnsi="Times New Roman" w:cs="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eastAsia="Times New Roman" w:hAnsi="Times New Roman" w:cs="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eastAsia="Times New Roman" w:hAnsi="Times New Roman" w:cs="Times New Roman"/>
        <w:color w:val="000000"/>
        <w:sz w:val="24"/>
        <w:szCs w:val="24"/>
      </w:rPr>
    </w:tblStylePr>
    <w:tblStylePr w:type="nwCell">
      <w:rPr>
        <w:rFonts w:ascii="Times New Roman" w:eastAsia="Times New Roman" w:hAnsi="Times New Roman" w:cs="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eastAsia="Times New Roman" w:hAnsi="Times New Roman" w:cs="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eastAsia="Times New Roman" w:hAnsi="Times New Roman" w:cs="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eastAsia="Times New Roman" w:hAnsi="Times New Roman" w:cs="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eastAsia="Times New Roman" w:hAnsi="Times New Roman" w:cs="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eastAsia="Times New Roman" w:hAnsi="Times New Roman" w:cs="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eastAsia="Times New Roman" w:hAnsi="Times New Roman" w:cs="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eastAsia="Times New Roman" w:hAnsi="Times New Roman" w:cs="Times New Roman"/>
        <w:color w:val="000000"/>
        <w:sz w:val="24"/>
        <w:szCs w:val="24"/>
      </w:rPr>
    </w:tblStylePr>
    <w:tblStylePr w:type="nwCell">
      <w:rPr>
        <w:rFonts w:ascii="Times New Roman" w:eastAsia="Times New Roman" w:hAnsi="Times New Roman" w:cs="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eastAsia="Times New Roman" w:hAnsi="Times New Roman" w:cs="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eastAsia="Times New Roman" w:hAnsi="Times New Roman" w:cs="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eastAsia="Times New Roman" w:hAnsi="Times New Roman" w:cs="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eastAsia="Times New Roman" w:hAnsi="Times New Roman" w:cs="Times New Roman"/>
        <w:color w:val="000000"/>
        <w:sz w:val="24"/>
        <w:szCs w:val="24"/>
      </w:rPr>
    </w:tblStylePr>
    <w:tblStylePr w:type="nwCell">
      <w:rPr>
        <w:rFonts w:ascii="Times New Roman" w:eastAsia="Times New Roman" w:hAnsi="Times New Roman" w:cs="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eastAsia="Times New Roman" w:hAnsi="Times New Roman" w:cs="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eastAsia="Times New Roman" w:hAnsi="Times New Roman" w:cs="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eastAsia="Times New Roman" w:hAnsi="Times New Roman" w:cs="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eastAsia="Times New Roman" w:hAnsi="Times New Roman" w:cs="Times New Roman"/>
        <w:color w:val="000000"/>
        <w:sz w:val="24"/>
        <w:szCs w:val="24"/>
      </w:rPr>
    </w:tblStylePr>
    <w:tblStylePr w:type="nwCell">
      <w:rPr>
        <w:rFonts w:ascii="Times New Roman" w:eastAsia="Times New Roman" w:hAnsi="Times New Roman" w:cs="Times New Roman"/>
        <w:color w:val="000000"/>
        <w:sz w:val="24"/>
        <w:szCs w:val="24"/>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Times New Roman" w:eastAsia="Times New Roman" w:hAnsi="Times New Roman" w:cs="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Times New Roman" w:eastAsia="Times New Roman" w:hAnsi="Times New Roman" w:cs="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Times New Roman" w:eastAsia="Times New Roman" w:hAnsi="Times New Roman" w:cs="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Times New Roman" w:eastAsia="Times New Roman" w:hAnsi="Times New Roman" w:cs="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Times New Roman" w:eastAsia="Times New Roman" w:hAnsi="Times New Roman" w:cs="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Times New Roman" w:eastAsia="Times New Roman" w:hAnsi="Times New Roman" w:cs="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Times New Roman" w:eastAsia="Times New Roman" w:hAnsi="Times New Roman" w:cs="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eastAsia="Times New Roman" w:hAnsi="Times New Roman" w:cs="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sz w:val="24"/>
        <w:szCs w:val="24"/>
      </w:rPr>
    </w:tblStylePr>
    <w:tblStylePr w:type="lastCol">
      <w:rPr>
        <w:rFonts w:ascii="Times New Roman" w:eastAsia="Times New Roman" w:hAnsi="Times New Roman" w:cs="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Times New Roman" w:eastAsia="Times New Roman" w:hAnsi="Times New Roman" w:cs="Times New Roman"/>
        <w:b/>
        <w:bCs/>
        <w:color w:val="000000"/>
        <w:sz w:val="24"/>
        <w:szCs w:val="24"/>
      </w:rPr>
      <w:tblPr/>
      <w:tcPr>
        <w:shd w:val="clear" w:color="auto" w:fill="999999" w:themeFill="text1" w:themeFillTint="66"/>
      </w:tcPr>
    </w:tblStylePr>
    <w:tblStylePr w:type="lastRow">
      <w:rPr>
        <w:rFonts w:ascii="Times New Roman" w:eastAsia="Times New Roman" w:hAnsi="Times New Roman" w:cs="Times New Roman"/>
        <w:b/>
        <w:bCs/>
        <w:color w:val="000000"/>
        <w:sz w:val="24"/>
        <w:szCs w:val="24"/>
      </w:rPr>
      <w:tblPr/>
      <w:tcPr>
        <w:shd w:val="clear" w:color="auto" w:fill="999999" w:themeFill="text1" w:themeFillTint="66"/>
      </w:tcPr>
    </w:tblStylePr>
    <w:tblStylePr w:type="firstCol">
      <w:rPr>
        <w:rFonts w:ascii="Times New Roman" w:eastAsia="Times New Roman" w:hAnsi="Times New Roman" w:cs="Times New Roman"/>
        <w:color w:val="000000"/>
        <w:sz w:val="24"/>
        <w:szCs w:val="24"/>
      </w:rPr>
      <w:tblPr/>
      <w:tcPr>
        <w:shd w:val="clear" w:color="auto" w:fill="000000" w:themeFill="text1" w:themeFillShade="BF"/>
      </w:tcPr>
    </w:tblStylePr>
    <w:tblStylePr w:type="lastCol">
      <w:rPr>
        <w:rFonts w:ascii="Times New Roman" w:eastAsia="Times New Roman" w:hAnsi="Times New Roman" w:cs="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Times New Roman" w:eastAsia="Times New Roman" w:hAnsi="Times New Roman" w:cs="Times New Roman"/>
        <w:b/>
        <w:bCs/>
        <w:color w:val="000000"/>
        <w:sz w:val="24"/>
        <w:szCs w:val="24"/>
      </w:rPr>
      <w:tblPr/>
      <w:tcPr>
        <w:shd w:val="clear" w:color="auto" w:fill="B8CCE4" w:themeFill="accent1" w:themeFillTint="66"/>
      </w:tcPr>
    </w:tblStylePr>
    <w:tblStylePr w:type="lastRow">
      <w:rPr>
        <w:rFonts w:ascii="Times New Roman" w:eastAsia="Times New Roman" w:hAnsi="Times New Roman" w:cs="Times New Roman"/>
        <w:b/>
        <w:bCs/>
        <w:color w:val="000000"/>
        <w:sz w:val="24"/>
        <w:szCs w:val="24"/>
      </w:rPr>
      <w:tblPr/>
      <w:tcPr>
        <w:shd w:val="clear" w:color="auto" w:fill="B8CCE4" w:themeFill="accent1" w:themeFillTint="66"/>
      </w:tcPr>
    </w:tblStylePr>
    <w:tblStylePr w:type="firstCol">
      <w:rPr>
        <w:rFonts w:ascii="Times New Roman" w:eastAsia="Times New Roman" w:hAnsi="Times New Roman" w:cs="Times New Roman"/>
        <w:color w:val="000000"/>
        <w:sz w:val="24"/>
        <w:szCs w:val="24"/>
      </w:rPr>
      <w:tblPr/>
      <w:tcPr>
        <w:shd w:val="clear" w:color="auto" w:fill="365F91" w:themeFill="accent1" w:themeFillShade="BF"/>
      </w:tcPr>
    </w:tblStylePr>
    <w:tblStylePr w:type="lastCol">
      <w:rPr>
        <w:rFonts w:ascii="Times New Roman" w:eastAsia="Times New Roman" w:hAnsi="Times New Roman" w:cs="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Times New Roman" w:eastAsia="Times New Roman" w:hAnsi="Times New Roman" w:cs="Times New Roman"/>
        <w:b/>
        <w:bCs/>
        <w:color w:val="000000"/>
        <w:sz w:val="24"/>
        <w:szCs w:val="24"/>
      </w:rPr>
      <w:tblPr/>
      <w:tcPr>
        <w:shd w:val="clear" w:color="auto" w:fill="E5B8B7" w:themeFill="accent2" w:themeFillTint="66"/>
      </w:tcPr>
    </w:tblStylePr>
    <w:tblStylePr w:type="lastRow">
      <w:rPr>
        <w:rFonts w:ascii="Times New Roman" w:eastAsia="Times New Roman" w:hAnsi="Times New Roman" w:cs="Times New Roman"/>
        <w:b/>
        <w:bCs/>
        <w:color w:val="000000"/>
        <w:sz w:val="24"/>
        <w:szCs w:val="24"/>
      </w:rPr>
      <w:tblPr/>
      <w:tcPr>
        <w:shd w:val="clear" w:color="auto" w:fill="E5B8B7" w:themeFill="accent2" w:themeFillTint="66"/>
      </w:tcPr>
    </w:tblStylePr>
    <w:tblStylePr w:type="firstCol">
      <w:rPr>
        <w:rFonts w:ascii="Times New Roman" w:eastAsia="Times New Roman" w:hAnsi="Times New Roman" w:cs="Times New Roman"/>
        <w:color w:val="000000"/>
        <w:sz w:val="24"/>
        <w:szCs w:val="24"/>
      </w:rPr>
      <w:tblPr/>
      <w:tcPr>
        <w:shd w:val="clear" w:color="auto" w:fill="943634" w:themeFill="accent2" w:themeFillShade="BF"/>
      </w:tcPr>
    </w:tblStylePr>
    <w:tblStylePr w:type="lastCol">
      <w:rPr>
        <w:rFonts w:ascii="Times New Roman" w:eastAsia="Times New Roman" w:hAnsi="Times New Roman" w:cs="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Times New Roman" w:eastAsia="Times New Roman" w:hAnsi="Times New Roman" w:cs="Times New Roman"/>
        <w:b/>
        <w:bCs/>
        <w:color w:val="000000"/>
        <w:sz w:val="24"/>
        <w:szCs w:val="24"/>
      </w:rPr>
      <w:tblPr/>
      <w:tcPr>
        <w:shd w:val="clear" w:color="auto" w:fill="D6E3BC" w:themeFill="accent3" w:themeFillTint="66"/>
      </w:tcPr>
    </w:tblStylePr>
    <w:tblStylePr w:type="lastRow">
      <w:rPr>
        <w:rFonts w:ascii="Times New Roman" w:eastAsia="Times New Roman" w:hAnsi="Times New Roman" w:cs="Times New Roman"/>
        <w:b/>
        <w:bCs/>
        <w:color w:val="000000"/>
        <w:sz w:val="24"/>
        <w:szCs w:val="24"/>
      </w:rPr>
      <w:tblPr/>
      <w:tcPr>
        <w:shd w:val="clear" w:color="auto" w:fill="D6E3BC" w:themeFill="accent3" w:themeFillTint="66"/>
      </w:tcPr>
    </w:tblStylePr>
    <w:tblStylePr w:type="firstCol">
      <w:rPr>
        <w:rFonts w:ascii="Times New Roman" w:eastAsia="Times New Roman" w:hAnsi="Times New Roman" w:cs="Times New Roman"/>
        <w:color w:val="000000"/>
        <w:sz w:val="24"/>
        <w:szCs w:val="24"/>
      </w:rPr>
      <w:tblPr/>
      <w:tcPr>
        <w:shd w:val="clear" w:color="auto" w:fill="76923C" w:themeFill="accent3" w:themeFillShade="BF"/>
      </w:tcPr>
    </w:tblStylePr>
    <w:tblStylePr w:type="lastCol">
      <w:rPr>
        <w:rFonts w:ascii="Times New Roman" w:eastAsia="Times New Roman" w:hAnsi="Times New Roman" w:cs="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Times New Roman" w:eastAsia="Times New Roman" w:hAnsi="Times New Roman" w:cs="Times New Roman"/>
        <w:b/>
        <w:bCs/>
        <w:color w:val="000000"/>
        <w:sz w:val="24"/>
        <w:szCs w:val="24"/>
      </w:rPr>
      <w:tblPr/>
      <w:tcPr>
        <w:shd w:val="clear" w:color="auto" w:fill="CCC0D9" w:themeFill="accent4" w:themeFillTint="66"/>
      </w:tcPr>
    </w:tblStylePr>
    <w:tblStylePr w:type="lastRow">
      <w:rPr>
        <w:rFonts w:ascii="Times New Roman" w:eastAsia="Times New Roman" w:hAnsi="Times New Roman" w:cs="Times New Roman"/>
        <w:b/>
        <w:bCs/>
        <w:color w:val="000000"/>
        <w:sz w:val="24"/>
        <w:szCs w:val="24"/>
      </w:rPr>
      <w:tblPr/>
      <w:tcPr>
        <w:shd w:val="clear" w:color="auto" w:fill="CCC0D9" w:themeFill="accent4" w:themeFillTint="66"/>
      </w:tcPr>
    </w:tblStylePr>
    <w:tblStylePr w:type="firstCol">
      <w:rPr>
        <w:rFonts w:ascii="Times New Roman" w:eastAsia="Times New Roman" w:hAnsi="Times New Roman" w:cs="Times New Roman"/>
        <w:color w:val="000000"/>
        <w:sz w:val="24"/>
        <w:szCs w:val="24"/>
      </w:rPr>
      <w:tblPr/>
      <w:tcPr>
        <w:shd w:val="clear" w:color="auto" w:fill="5F497A" w:themeFill="accent4" w:themeFillShade="BF"/>
      </w:tcPr>
    </w:tblStylePr>
    <w:tblStylePr w:type="lastCol">
      <w:rPr>
        <w:rFonts w:ascii="Times New Roman" w:eastAsia="Times New Roman" w:hAnsi="Times New Roman" w:cs="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Times New Roman" w:eastAsia="Times New Roman" w:hAnsi="Times New Roman" w:cs="Times New Roman"/>
        <w:b/>
        <w:bCs/>
        <w:color w:val="000000"/>
        <w:sz w:val="24"/>
        <w:szCs w:val="24"/>
      </w:rPr>
      <w:tblPr/>
      <w:tcPr>
        <w:shd w:val="clear" w:color="auto" w:fill="B6DDE8" w:themeFill="accent5" w:themeFillTint="66"/>
      </w:tcPr>
    </w:tblStylePr>
    <w:tblStylePr w:type="lastRow">
      <w:rPr>
        <w:rFonts w:ascii="Times New Roman" w:eastAsia="Times New Roman" w:hAnsi="Times New Roman" w:cs="Times New Roman"/>
        <w:b/>
        <w:bCs/>
        <w:color w:val="000000"/>
        <w:sz w:val="24"/>
        <w:szCs w:val="24"/>
      </w:rPr>
      <w:tblPr/>
      <w:tcPr>
        <w:shd w:val="clear" w:color="auto" w:fill="B6DDE8" w:themeFill="accent5" w:themeFillTint="66"/>
      </w:tcPr>
    </w:tblStylePr>
    <w:tblStylePr w:type="firstCol">
      <w:rPr>
        <w:rFonts w:ascii="Times New Roman" w:eastAsia="Times New Roman" w:hAnsi="Times New Roman" w:cs="Times New Roman"/>
        <w:color w:val="000000"/>
        <w:sz w:val="24"/>
        <w:szCs w:val="24"/>
      </w:rPr>
      <w:tblPr/>
      <w:tcPr>
        <w:shd w:val="clear" w:color="auto" w:fill="31849B" w:themeFill="accent5" w:themeFillShade="BF"/>
      </w:tcPr>
    </w:tblStylePr>
    <w:tblStylePr w:type="lastCol">
      <w:rPr>
        <w:rFonts w:ascii="Times New Roman" w:eastAsia="Times New Roman" w:hAnsi="Times New Roman" w:cs="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Times New Roman" w:eastAsia="Times New Roman" w:hAnsi="Times New Roman" w:cs="Times New Roman"/>
        <w:b/>
        <w:bCs/>
        <w:color w:val="000000"/>
        <w:sz w:val="24"/>
        <w:szCs w:val="24"/>
      </w:rPr>
      <w:tblPr/>
      <w:tcPr>
        <w:shd w:val="clear" w:color="auto" w:fill="FBD4B4" w:themeFill="accent6" w:themeFillTint="66"/>
      </w:tcPr>
    </w:tblStylePr>
    <w:tblStylePr w:type="lastRow">
      <w:rPr>
        <w:rFonts w:ascii="Times New Roman" w:eastAsia="Times New Roman" w:hAnsi="Times New Roman" w:cs="Times New Roman"/>
        <w:b/>
        <w:bCs/>
        <w:color w:val="000000"/>
        <w:sz w:val="24"/>
        <w:szCs w:val="24"/>
      </w:rPr>
      <w:tblPr/>
      <w:tcPr>
        <w:shd w:val="clear" w:color="auto" w:fill="FBD4B4" w:themeFill="accent6" w:themeFillTint="66"/>
      </w:tcPr>
    </w:tblStylePr>
    <w:tblStylePr w:type="firstCol">
      <w:rPr>
        <w:rFonts w:ascii="Times New Roman" w:eastAsia="Times New Roman" w:hAnsi="Times New Roman" w:cs="Times New Roman"/>
        <w:color w:val="000000"/>
        <w:sz w:val="24"/>
        <w:szCs w:val="24"/>
      </w:rPr>
      <w:tblPr/>
      <w:tcPr>
        <w:shd w:val="clear" w:color="auto" w:fill="E36C0A" w:themeFill="accent6" w:themeFillShade="BF"/>
      </w:tcPr>
    </w:tblStylePr>
    <w:tblStylePr w:type="lastCol">
      <w:rPr>
        <w:rFonts w:ascii="Times New Roman" w:eastAsia="Times New Roman" w:hAnsi="Times New Roman" w:cs="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F4325"/>
    <w:pPr>
      <w:spacing w:before="100" w:beforeAutospacing="1" w:after="100" w:afterAutospacing="1"/>
    </w:pPr>
    <w:rPr>
      <w:color w:val="auto"/>
      <w:lang w:val="en-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Introduction for Hardware Aware Transformer Inference on CUDA and Apple Metal</dc:title>
  <dc:subject>CSCI 693 Thesis Proposal</dc:subject>
  <dc:creator>Yersultan Tursyn</dc:creator>
  <cp:keywords>thesis Transformer inference CUDA Metal Apple Silicon literature review</cp:keywords>
  <dc:description>generated by python-docx</dc:description>
  <cp:lastModifiedBy>Yersultan Tursyn</cp:lastModifiedBy>
  <cp:revision>2</cp:revision>
  <dcterms:created xsi:type="dcterms:W3CDTF">2013-12-23T23:15:00Z</dcterms:created>
  <dcterms:modified xsi:type="dcterms:W3CDTF">2026-09-21T18:41:00Z</dcterms:modified>
  <cp:category/>
</cp:coreProperties>
</file>