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0000"/>
          <w:u w:val="single"/>
        </w:rPr>
        <w:t>Retail &amp; Leisure</w:t>
      </w:r>
    </w:p>
    <w:p>
      <w:r>
        <w:t xml:space="preserve">Carnival Corporation &amp; plc is set to release its second quarter financial results on June 24, 2025, followed by a conference call with analysts. The announcement will provide insights into the company's performance, including profit or loss figures, revenue changes, and any strategic moves such as acquisitions or disposals. Stakeholders will be keen to learn about potential dividend adjustments and how the results compare to market expectations. The call will be accessible via Carnival's websites, offering a comprehensive overview of the largest global cruise company's financial health and strategic direction. </w:t>
      </w:r>
      <w:hyperlink r:id="rId9">
        <w:r>
          <w:rPr>
            <w:rStyle w:val="Hyperlink"/>
          </w:rPr>
          <w:t>(Link)</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ondonstockexchange.com/news-article/CCL/carnival-corporation-to-hold-conference-call-on-2q-earnings/17084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