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00"/>
          <w:u w:val="single"/>
        </w:rPr>
        <w:t>Retail &amp; Leisure</w:t>
      </w:r>
    </w:p>
    <w:p>
      <w:r>
        <w:t xml:space="preserve">Schroder Real Estate Investment Trust Limited – announces the submission of its 2025 Annual Report and Consolidated Financial Statements to the Financial Conduct Authority, with documents available for inspection via the National Storage Mechanism and downloadable from the company's website. </w:t>
      </w:r>
      <w:hyperlink r:id="rId9">
        <w:r>
          <w:rPr>
            <w:rStyle w:val="Hyperlink"/>
            <w:color w:val="0000FF"/>
            <w:u w:val="single"/>
          </w:rPr>
          <w:t>(Link)</w:t>
        </w:r>
      </w:hyperlink>
    </w:p>
    <w:p>
      <w:r>
        <w:t xml:space="preserve">Spectris – confirms receipt of a preliminary and conditional cash offer proposal from KKR, which was rejected, and is in ongoing discussions with Advent regarding a possible cash offer at £37.63 per share, with KKR reviewing due diligence information ahead of a 11 July 2025 deadline to announce a firm intention or withdrawal. </w:t>
      </w:r>
      <w:hyperlink r:id="rId10">
        <w:r>
          <w:rPr>
            <w:rStyle w:val="Hyperlink"/>
            <w:color w:val="0000FF"/>
            <w:u w:val="single"/>
          </w:rPr>
          <w:t>(Link)</w:t>
        </w:r>
      </w:hyperlink>
    </w:p>
    <w:p>
      <w:r>
        <w:rPr>
          <w:b/>
          <w:color w:val="000000"/>
          <w:u w:val="single"/>
        </w:rPr>
        <w:t>Financial &amp; Professional Services</w:t>
      </w:r>
    </w:p>
    <w:p>
      <w:r>
        <w:t xml:space="preserve">FirstGroup plc – ryan Mangold, Chief Finance Officer, sold 50,000 shares at 224.60p each, while Nicole Mangold, his wife, sold 950,000 shares at 223.70p each on 13 June 2025, with the couple retaining 767,311 shares, equating to over 540% of Ryan's salary against a target of 200%. </w:t>
      </w:r>
      <w:hyperlink r:id="rId11">
        <w:r>
          <w:rPr>
            <w:rStyle w:val="Hyperlink"/>
            <w:color w:val="0000FF"/>
            <w:u w:val="single"/>
          </w:rPr>
          <w:t>(Link)</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ondonstockexchange.com/news-article/SREI/annual-report-and-notice-of-agm/17086341" TargetMode="External"/><Relationship Id="rId10" Type="http://schemas.openxmlformats.org/officeDocument/2006/relationships/hyperlink" Target="https://www.londonstockexchange.com/news-article/SXS/response-to-media-speculation/17086338" TargetMode="External"/><Relationship Id="rId11" Type="http://schemas.openxmlformats.org/officeDocument/2006/relationships/hyperlink" Target="https://www.londonstockexchange.com/news-article/FGP/director-pdmr-shareholding/17086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