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4B1248"/>
          <w:sz w:val="72"/>
          <w:szCs w:val="72"/>
        </w:rPr>
        <w:t xml:space="preserve">ShaadiMe</w:t>
      </w:r>
    </w:p>
    <w:p>
      <w:pPr>
        <w:spacing w:after="60" w:before="0"/>
      </w:pPr>
      <w:r>
        <w:rPr>
          <w:rFonts w:ascii="Arial" w:cs="Arial" w:eastAsia="Arial" w:hAnsi="Arial"/>
          <w:color w:val="B01F68"/>
          <w:sz w:val="30"/>
          <w:szCs w:val="30"/>
        </w:rPr>
        <w:t xml:space="preserve">Technology Infrastructure &amp; Deployment Proposal</w:t>
      </w:r>
    </w:p>
    <w:p>
      <w:pPr>
        <w:pBdr>
          <w:bottom w:val="single" w:color="C9A96E" w:sz="4" w:space="1"/>
        </w:pBd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B8D0" w:sz="1"/>
              <w:left w:val="single" w:color="D4B8D0" w:sz="1"/>
              <w:bottom w:val="single" w:color="D4B8D0" w:sz="1"/>
              <w:right w:val="single" w:color="D4B8D0" w:sz="1"/>
            </w:tcBorders>
            <w:shd w:fill="FAF4F6" w:val="clear"/>
            <w:tcMar>
              <w:top w:type="dxa" w:w="90"/>
              <w:left w:type="dxa" w:w="140"/>
              <w:bottom w:type="dxa" w:w="90"/>
              <w:right w:type="dxa" w:w="140"/>
            </w:tcMar>
          </w:tcPr>
          <w:p>
            <w:r>
              <w:rPr>
                <w:rFonts w:ascii="Arial" w:cs="Arial" w:eastAsia="Arial" w:hAnsi="Arial"/>
                <w:b/>
                <w:bCs/>
                <w:color w:val="4B1248"/>
                <w:sz w:val="20"/>
                <w:szCs w:val="20"/>
              </w:rPr>
              <w:t xml:space="preserve">Prepared by</w:t>
            </w:r>
          </w:p>
        </w:tc>
        <w:tc>
          <w:tcPr>
            <w:tcW w:type="dxa" w:w="6960"/>
            <w:tcBorders>
              <w:top w:val="single" w:color="D4B8D0" w:sz="1"/>
              <w:left w:val="single" w:color="D4B8D0" w:sz="1"/>
              <w:bottom w:val="single" w:color="D4B8D0" w:sz="1"/>
              <w:right w:val="single" w:color="D4B8D0" w:sz="1"/>
            </w:tcBorders>
            <w:shd w:fill="FFFFFF" w:val="clear"/>
            <w:tcMar>
              <w:top w:type="dxa" w:w="90"/>
              <w:left w:type="dxa" w:w="140"/>
              <w:bottom w:type="dxa" w:w="90"/>
              <w:right w:type="dxa" w:w="140"/>
            </w:tcMar>
          </w:tcPr>
          <w:p>
            <w:r>
              <w:rPr>
                <w:rFonts w:ascii="Arial" w:cs="Arial" w:eastAsia="Arial" w:hAnsi="Arial"/>
                <w:color w:val="1A0A18"/>
                <w:sz w:val="20"/>
                <w:szCs w:val="20"/>
              </w:rPr>
              <w:t xml:space="preserve">Engineering Team</w:t>
            </w:r>
          </w:p>
        </w:tc>
      </w:tr>
      <w:tr>
        <w:tc>
          <w:tcPr>
            <w:tcW w:type="dxa" w:w="2400"/>
            <w:tcBorders>
              <w:top w:val="single" w:color="D4B8D0" w:sz="1"/>
              <w:left w:val="single" w:color="D4B8D0" w:sz="1"/>
              <w:bottom w:val="single" w:color="D4B8D0" w:sz="1"/>
              <w:right w:val="single" w:color="D4B8D0" w:sz="1"/>
            </w:tcBorders>
            <w:shd w:fill="F0E6F0" w:val="clear"/>
            <w:tcMar>
              <w:top w:type="dxa" w:w="90"/>
              <w:left w:type="dxa" w:w="140"/>
              <w:bottom w:type="dxa" w:w="90"/>
              <w:right w:type="dxa" w:w="140"/>
            </w:tcMar>
          </w:tcPr>
          <w:p>
            <w:r>
              <w:rPr>
                <w:rFonts w:ascii="Arial" w:cs="Arial" w:eastAsia="Arial" w:hAnsi="Arial"/>
                <w:b/>
                <w:bCs/>
                <w:color w:val="4B1248"/>
                <w:sz w:val="20"/>
                <w:szCs w:val="20"/>
              </w:rPr>
              <w:t xml:space="preserve">Prepared for</w:t>
            </w:r>
          </w:p>
        </w:tc>
        <w:tc>
          <w:tcPr>
            <w:tcW w:type="dxa" w:w="6960"/>
            <w:tcBorders>
              <w:top w:val="single" w:color="D4B8D0" w:sz="1"/>
              <w:left w:val="single" w:color="D4B8D0" w:sz="1"/>
              <w:bottom w:val="single" w:color="D4B8D0" w:sz="1"/>
              <w:right w:val="single" w:color="D4B8D0" w:sz="1"/>
            </w:tcBorders>
            <w:shd w:fill="FAF0F8" w:val="clear"/>
            <w:tcMar>
              <w:top w:type="dxa" w:w="90"/>
              <w:left w:type="dxa" w:w="140"/>
              <w:bottom w:type="dxa" w:w="90"/>
              <w:right w:type="dxa" w:w="140"/>
            </w:tcMar>
          </w:tcPr>
          <w:p>
            <w:r>
              <w:rPr>
                <w:rFonts w:ascii="Arial" w:cs="Arial" w:eastAsia="Arial" w:hAnsi="Arial"/>
                <w:color w:val="1A0A18"/>
                <w:sz w:val="20"/>
                <w:szCs w:val="20"/>
              </w:rPr>
              <w:t xml:space="preserve">Company Head / Leadership</w:t>
            </w:r>
          </w:p>
        </w:tc>
      </w:tr>
      <w:tr>
        <w:tc>
          <w:tcPr>
            <w:tcW w:type="dxa" w:w="2400"/>
            <w:tcBorders>
              <w:top w:val="single" w:color="D4B8D0" w:sz="1"/>
              <w:left w:val="single" w:color="D4B8D0" w:sz="1"/>
              <w:bottom w:val="single" w:color="D4B8D0" w:sz="1"/>
              <w:right w:val="single" w:color="D4B8D0" w:sz="1"/>
            </w:tcBorders>
            <w:shd w:fill="FAF4F6" w:val="clear"/>
            <w:tcMar>
              <w:top w:type="dxa" w:w="90"/>
              <w:left w:type="dxa" w:w="140"/>
              <w:bottom w:type="dxa" w:w="90"/>
              <w:right w:type="dxa" w:w="140"/>
            </w:tcMar>
          </w:tcPr>
          <w:p>
            <w:r>
              <w:rPr>
                <w:rFonts w:ascii="Arial" w:cs="Arial" w:eastAsia="Arial" w:hAnsi="Arial"/>
                <w:b/>
                <w:bCs/>
                <w:color w:val="4B1248"/>
                <w:sz w:val="20"/>
                <w:szCs w:val="20"/>
              </w:rPr>
              <w:t xml:space="preserve">Date</w:t>
            </w:r>
          </w:p>
        </w:tc>
        <w:tc>
          <w:tcPr>
            <w:tcW w:type="dxa" w:w="6960"/>
            <w:tcBorders>
              <w:top w:val="single" w:color="D4B8D0" w:sz="1"/>
              <w:left w:val="single" w:color="D4B8D0" w:sz="1"/>
              <w:bottom w:val="single" w:color="D4B8D0" w:sz="1"/>
              <w:right w:val="single" w:color="D4B8D0" w:sz="1"/>
            </w:tcBorders>
            <w:shd w:fill="FFFFFF" w:val="clear"/>
            <w:tcMar>
              <w:top w:type="dxa" w:w="90"/>
              <w:left w:type="dxa" w:w="140"/>
              <w:bottom w:type="dxa" w:w="90"/>
              <w:right w:type="dxa" w:w="140"/>
            </w:tcMar>
          </w:tcPr>
          <w:p>
            <w:r>
              <w:rPr>
                <w:rFonts w:ascii="Arial" w:cs="Arial" w:eastAsia="Arial" w:hAnsi="Arial"/>
                <w:color w:val="1A0A18"/>
                <w:sz w:val="20"/>
                <w:szCs w:val="20"/>
              </w:rPr>
              <w:t xml:space="preserve">3 May 2026</w:t>
            </w:r>
          </w:p>
        </w:tc>
      </w:tr>
      <w:tr>
        <w:tc>
          <w:tcPr>
            <w:tcW w:type="dxa" w:w="2400"/>
            <w:tcBorders>
              <w:top w:val="single" w:color="D4B8D0" w:sz="1"/>
              <w:left w:val="single" w:color="D4B8D0" w:sz="1"/>
              <w:bottom w:val="single" w:color="D4B8D0" w:sz="1"/>
              <w:right w:val="single" w:color="D4B8D0" w:sz="1"/>
            </w:tcBorders>
            <w:shd w:fill="F0E6F0" w:val="clear"/>
            <w:tcMar>
              <w:top w:type="dxa" w:w="90"/>
              <w:left w:type="dxa" w:w="140"/>
              <w:bottom w:type="dxa" w:w="90"/>
              <w:right w:type="dxa" w:w="140"/>
            </w:tcMar>
          </w:tcPr>
          <w:p>
            <w:r>
              <w:rPr>
                <w:rFonts w:ascii="Arial" w:cs="Arial" w:eastAsia="Arial" w:hAnsi="Arial"/>
                <w:b/>
                <w:bCs/>
                <w:color w:val="4B1248"/>
                <w:sz w:val="20"/>
                <w:szCs w:val="20"/>
              </w:rPr>
              <w:t xml:space="preserve">Version</w:t>
            </w:r>
          </w:p>
        </w:tc>
        <w:tc>
          <w:tcPr>
            <w:tcW w:type="dxa" w:w="6960"/>
            <w:tcBorders>
              <w:top w:val="single" w:color="D4B8D0" w:sz="1"/>
              <w:left w:val="single" w:color="D4B8D0" w:sz="1"/>
              <w:bottom w:val="single" w:color="D4B8D0" w:sz="1"/>
              <w:right w:val="single" w:color="D4B8D0" w:sz="1"/>
            </w:tcBorders>
            <w:shd w:fill="FAF0F8" w:val="clear"/>
            <w:tcMar>
              <w:top w:type="dxa" w:w="90"/>
              <w:left w:type="dxa" w:w="140"/>
              <w:bottom w:type="dxa" w:w="90"/>
              <w:right w:type="dxa" w:w="140"/>
            </w:tcMar>
          </w:tcPr>
          <w:p>
            <w:r>
              <w:rPr>
                <w:rFonts w:ascii="Arial" w:cs="Arial" w:eastAsia="Arial" w:hAnsi="Arial"/>
                <w:color w:val="1A0A18"/>
                <w:sz w:val="20"/>
                <w:szCs w:val="20"/>
              </w:rPr>
              <w:t xml:space="preserve">1.0 — Initial Submission</w:t>
            </w:r>
          </w:p>
        </w:tc>
      </w:tr>
      <w:tr>
        <w:tc>
          <w:tcPr>
            <w:tcW w:type="dxa" w:w="2400"/>
            <w:tcBorders>
              <w:top w:val="single" w:color="D4B8D0" w:sz="1"/>
              <w:left w:val="single" w:color="D4B8D0" w:sz="1"/>
              <w:bottom w:val="single" w:color="D4B8D0" w:sz="1"/>
              <w:right w:val="single" w:color="D4B8D0" w:sz="1"/>
            </w:tcBorders>
            <w:shd w:fill="FAF4F6" w:val="clear"/>
            <w:tcMar>
              <w:top w:type="dxa" w:w="90"/>
              <w:left w:type="dxa" w:w="140"/>
              <w:bottom w:type="dxa" w:w="90"/>
              <w:right w:type="dxa" w:w="140"/>
            </w:tcMar>
          </w:tcPr>
          <w:p>
            <w:r>
              <w:rPr>
                <w:rFonts w:ascii="Arial" w:cs="Arial" w:eastAsia="Arial" w:hAnsi="Arial"/>
                <w:b/>
                <w:bCs/>
                <w:color w:val="4B1248"/>
                <w:sz w:val="20"/>
                <w:szCs w:val="20"/>
              </w:rPr>
              <w:t xml:space="preserve">Classification</w:t>
            </w:r>
          </w:p>
        </w:tc>
        <w:tc>
          <w:tcPr>
            <w:tcW w:type="dxa" w:w="6960"/>
            <w:tcBorders>
              <w:top w:val="single" w:color="D4B8D0" w:sz="1"/>
              <w:left w:val="single" w:color="D4B8D0" w:sz="1"/>
              <w:bottom w:val="single" w:color="D4B8D0" w:sz="1"/>
              <w:right w:val="single" w:color="D4B8D0" w:sz="1"/>
            </w:tcBorders>
            <w:shd w:fill="FFFFFF" w:val="clear"/>
            <w:tcMar>
              <w:top w:type="dxa" w:w="90"/>
              <w:left w:type="dxa" w:w="140"/>
              <w:bottom w:type="dxa" w:w="90"/>
              <w:right w:type="dxa" w:w="140"/>
            </w:tcMar>
          </w:tcPr>
          <w:p>
            <w:r>
              <w:rPr>
                <w:rFonts w:ascii="Arial" w:cs="Arial" w:eastAsia="Arial" w:hAnsi="Arial"/>
                <w:color w:val="1A0A18"/>
                <w:sz w:val="20"/>
                <w:szCs w:val="20"/>
              </w:rPr>
              <w:t xml:space="preserve">Internal — Confidential</w:t>
            </w:r>
          </w:p>
        </w:tc>
      </w:tr>
      <w:tr>
        <w:tc>
          <w:tcPr>
            <w:tcW w:type="dxa" w:w="2400"/>
            <w:tcBorders>
              <w:top w:val="single" w:color="D4B8D0" w:sz="1"/>
              <w:left w:val="single" w:color="D4B8D0" w:sz="1"/>
              <w:bottom w:val="single" w:color="D4B8D0" w:sz="1"/>
              <w:right w:val="single" w:color="D4B8D0" w:sz="1"/>
            </w:tcBorders>
            <w:shd w:fill="F0E6F0" w:val="clear"/>
            <w:tcMar>
              <w:top w:type="dxa" w:w="90"/>
              <w:left w:type="dxa" w:w="140"/>
              <w:bottom w:type="dxa" w:w="90"/>
              <w:right w:type="dxa" w:w="140"/>
            </w:tcMar>
          </w:tcPr>
          <w:p>
            <w:r>
              <w:rPr>
                <w:rFonts w:ascii="Arial" w:cs="Arial" w:eastAsia="Arial" w:hAnsi="Arial"/>
                <w:b/>
                <w:bCs/>
                <w:color w:val="4B1248"/>
                <w:sz w:val="20"/>
                <w:szCs w:val="20"/>
              </w:rPr>
              <w:t xml:space="preserve">Subject</w:t>
            </w:r>
          </w:p>
        </w:tc>
        <w:tc>
          <w:tcPr>
            <w:tcW w:type="dxa" w:w="6960"/>
            <w:tcBorders>
              <w:top w:val="single" w:color="D4B8D0" w:sz="1"/>
              <w:left w:val="single" w:color="D4B8D0" w:sz="1"/>
              <w:bottom w:val="single" w:color="D4B8D0" w:sz="1"/>
              <w:right w:val="single" w:color="D4B8D0" w:sz="1"/>
            </w:tcBorders>
            <w:shd w:fill="FAF0F8" w:val="clear"/>
            <w:tcMar>
              <w:top w:type="dxa" w:w="90"/>
              <w:left w:type="dxa" w:w="140"/>
              <w:bottom w:type="dxa" w:w="90"/>
              <w:right w:type="dxa" w:w="140"/>
            </w:tcMar>
          </w:tcPr>
          <w:p>
            <w:r>
              <w:rPr>
                <w:rFonts w:ascii="Arial" w:cs="Arial" w:eastAsia="Arial" w:hAnsi="Arial"/>
                <w:color w:val="1A0A18"/>
                <w:sz w:val="20"/>
                <w:szCs w:val="20"/>
              </w:rPr>
              <w:t xml:space="preserve">Production deployment — services and tooling required</w:t>
            </w:r>
          </w:p>
        </w:tc>
      </w:tr>
    </w:tbl>
    <w:p>
      <w:r>
        <w:br w:type="page"/>
      </w:r>
    </w:p>
    <w:p>
      <w:pPr>
        <w:pStyle w:val="Heading1"/>
      </w:pPr>
      <w:r>
        <w:t xml:space="preserve">1.  Executive Summary</w:t>
      </w:r>
    </w:p>
    <w:p>
      <w:pPr>
        <w:pBdr>
          <w:bottom w:val="single" w:color="D4B8D0" w:sz="4" w:space="1"/>
        </w:pBdr>
        <w:spacing w:after="180" w:before="0"/>
      </w:pPr>
    </w:p>
    <w:p>
      <w:pPr>
        <w:spacing w:after="140" w:before="80"/>
      </w:pPr>
      <w:r>
        <w:rPr>
          <w:rFonts w:ascii="Arial" w:cs="Arial" w:eastAsia="Arial" w:hAnsi="Arial"/>
          <w:b w:val="false"/>
          <w:bCs w:val="false"/>
          <w:i w:val="false"/>
          <w:iCs w:val="false"/>
          <w:color w:val="1A0A18"/>
          <w:sz w:val="22"/>
          <w:szCs w:val="22"/>
        </w:rPr>
        <w:t xml:space="preserve">ShaadiMe is ready to move from development to a live, customer-facing production environment. This document sets out every service and tool required to do that safely — and explains precisely why each one is needed.</w:t>
      </w:r>
    </w:p>
    <w:p>
      <w:pPr>
        <w:spacing w:after="140" w:before="80"/>
      </w:pPr>
      <w:r>
        <w:rPr>
          <w:rFonts w:ascii="Arial" w:cs="Arial" w:eastAsia="Arial" w:hAnsi="Arial"/>
          <w:b w:val="false"/>
          <w:bCs w:val="false"/>
          <w:i w:val="false"/>
          <w:iCs w:val="false"/>
          <w:color w:val="1A0A18"/>
          <w:sz w:val="22"/>
          <w:szCs w:val="22"/>
        </w:rPr>
        <w:t xml:space="preserve">The platform comprises an Angular frontend, a Laravel API backend, and a MySQL database. To operate this in production at a standard appropriate for a premium wedding planning brand, we require tooling in four areas: automated deployment, automated testing, live monitoring, and an internal CRM for the planning team.</w:t>
      </w:r>
    </w:p>
    <w:p>
      <w:pPr>
        <w:spacing w:after="140" w:before="80"/>
      </w:pPr>
      <w:r>
        <w:rPr>
          <w:rFonts w:ascii="Arial" w:cs="Arial" w:eastAsia="Arial" w:hAnsi="Arial"/>
          <w:b w:val="false"/>
          <w:bCs w:val="false"/>
          <w:i w:val="false"/>
          <w:iCs w:val="false"/>
          <w:color w:val="1A0A18"/>
          <w:sz w:val="22"/>
          <w:szCs w:val="22"/>
        </w:rPr>
        <w:t xml:space="preserve">All tooling choices have been made to minimise recurring cost. The only unavoidable expense is the server itself. Every other component in this proposal is open-source and carries no licensing fee.</w:t>
      </w:r>
    </w:p>
    <w:p>
      <w:r>
        <w:br w:type="page"/>
      </w:r>
    </w:p>
    <w:p>
      <w:pPr>
        <w:pStyle w:val="Heading1"/>
      </w:pPr>
      <w:r>
        <w:t xml:space="preserve">2.  Current State</w:t>
      </w:r>
    </w:p>
    <w:p>
      <w:pPr>
        <w:pBdr>
          <w:bottom w:val="single" w:color="D4B8D0" w:sz="4" w:space="1"/>
        </w:pBdr>
        <w:spacing w:after="1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B8D0" w:sz="1"/>
              <w:left w:val="single" w:color="D4B8D0" w:sz="1"/>
              <w:bottom w:val="single" w:color="D4B8D0" w:sz="1"/>
              <w:right w:val="single" w:color="D4B8D0" w:sz="1"/>
            </w:tcBorders>
            <w:shd w:fill="FAF4F6" w:val="clear"/>
            <w:tcMar>
              <w:top w:type="dxa" w:w="90"/>
              <w:left w:type="dxa" w:w="140"/>
              <w:bottom w:type="dxa" w:w="90"/>
              <w:right w:type="dxa" w:w="140"/>
            </w:tcMar>
          </w:tcPr>
          <w:p>
            <w:r>
              <w:rPr>
                <w:rFonts w:ascii="Arial" w:cs="Arial" w:eastAsia="Arial" w:hAnsi="Arial"/>
                <w:b/>
                <w:bCs/>
                <w:color w:val="4B1248"/>
                <w:sz w:val="20"/>
                <w:szCs w:val="20"/>
              </w:rPr>
              <w:t xml:space="preserve">Frontend</w:t>
            </w:r>
          </w:p>
        </w:tc>
        <w:tc>
          <w:tcPr>
            <w:tcW w:type="dxa" w:w="6960"/>
            <w:tcBorders>
              <w:top w:val="single" w:color="D4B8D0" w:sz="1"/>
              <w:left w:val="single" w:color="D4B8D0" w:sz="1"/>
              <w:bottom w:val="single" w:color="D4B8D0" w:sz="1"/>
              <w:right w:val="single" w:color="D4B8D0" w:sz="1"/>
            </w:tcBorders>
            <w:shd w:fill="FFFFFF" w:val="clear"/>
            <w:tcMar>
              <w:top w:type="dxa" w:w="90"/>
              <w:left w:type="dxa" w:w="140"/>
              <w:bottom w:type="dxa" w:w="90"/>
              <w:right w:type="dxa" w:w="140"/>
            </w:tcMar>
          </w:tcPr>
          <w:p>
            <w:r>
              <w:rPr>
                <w:rFonts w:ascii="Arial" w:cs="Arial" w:eastAsia="Arial" w:hAnsi="Arial"/>
                <w:color w:val="1A0A18"/>
                <w:sz w:val="20"/>
                <w:szCs w:val="20"/>
              </w:rPr>
              <w:t xml:space="preserve">Angular 21 — built, serving locally only</w:t>
            </w:r>
          </w:p>
        </w:tc>
      </w:tr>
      <w:tr>
        <w:tc>
          <w:tcPr>
            <w:tcW w:type="dxa" w:w="2400"/>
            <w:tcBorders>
              <w:top w:val="single" w:color="D4B8D0" w:sz="1"/>
              <w:left w:val="single" w:color="D4B8D0" w:sz="1"/>
              <w:bottom w:val="single" w:color="D4B8D0" w:sz="1"/>
              <w:right w:val="single" w:color="D4B8D0" w:sz="1"/>
            </w:tcBorders>
            <w:shd w:fill="F0E6F0" w:val="clear"/>
            <w:tcMar>
              <w:top w:type="dxa" w:w="90"/>
              <w:left w:type="dxa" w:w="140"/>
              <w:bottom w:type="dxa" w:w="90"/>
              <w:right w:type="dxa" w:w="140"/>
            </w:tcMar>
          </w:tcPr>
          <w:p>
            <w:r>
              <w:rPr>
                <w:rFonts w:ascii="Arial" w:cs="Arial" w:eastAsia="Arial" w:hAnsi="Arial"/>
                <w:b/>
                <w:bCs/>
                <w:color w:val="4B1248"/>
                <w:sz w:val="20"/>
                <w:szCs w:val="20"/>
              </w:rPr>
              <w:t xml:space="preserve">Backend</w:t>
            </w:r>
          </w:p>
        </w:tc>
        <w:tc>
          <w:tcPr>
            <w:tcW w:type="dxa" w:w="6960"/>
            <w:tcBorders>
              <w:top w:val="single" w:color="D4B8D0" w:sz="1"/>
              <w:left w:val="single" w:color="D4B8D0" w:sz="1"/>
              <w:bottom w:val="single" w:color="D4B8D0" w:sz="1"/>
              <w:right w:val="single" w:color="D4B8D0" w:sz="1"/>
            </w:tcBorders>
            <w:shd w:fill="FAF0F8" w:val="clear"/>
            <w:tcMar>
              <w:top w:type="dxa" w:w="90"/>
              <w:left w:type="dxa" w:w="140"/>
              <w:bottom w:type="dxa" w:w="90"/>
              <w:right w:type="dxa" w:w="140"/>
            </w:tcMar>
          </w:tcPr>
          <w:p>
            <w:r>
              <w:rPr>
                <w:rFonts w:ascii="Arial" w:cs="Arial" w:eastAsia="Arial" w:hAnsi="Arial"/>
                <w:color w:val="1A0A18"/>
                <w:sz w:val="20"/>
                <w:szCs w:val="20"/>
              </w:rPr>
              <w:t xml:space="preserve">Laravel 12 — REST API, serving locally only</w:t>
            </w:r>
          </w:p>
        </w:tc>
      </w:tr>
      <w:tr>
        <w:tc>
          <w:tcPr>
            <w:tcW w:type="dxa" w:w="2400"/>
            <w:tcBorders>
              <w:top w:val="single" w:color="D4B8D0" w:sz="1"/>
              <w:left w:val="single" w:color="D4B8D0" w:sz="1"/>
              <w:bottom w:val="single" w:color="D4B8D0" w:sz="1"/>
              <w:right w:val="single" w:color="D4B8D0" w:sz="1"/>
            </w:tcBorders>
            <w:shd w:fill="FAF4F6" w:val="clear"/>
            <w:tcMar>
              <w:top w:type="dxa" w:w="90"/>
              <w:left w:type="dxa" w:w="140"/>
              <w:bottom w:type="dxa" w:w="90"/>
              <w:right w:type="dxa" w:w="140"/>
            </w:tcMar>
          </w:tcPr>
          <w:p>
            <w:r>
              <w:rPr>
                <w:rFonts w:ascii="Arial" w:cs="Arial" w:eastAsia="Arial" w:hAnsi="Arial"/>
                <w:b/>
                <w:bCs/>
                <w:color w:val="4B1248"/>
                <w:sz w:val="20"/>
                <w:szCs w:val="20"/>
              </w:rPr>
              <w:t xml:space="preserve">Database</w:t>
            </w:r>
          </w:p>
        </w:tc>
        <w:tc>
          <w:tcPr>
            <w:tcW w:type="dxa" w:w="6960"/>
            <w:tcBorders>
              <w:top w:val="single" w:color="D4B8D0" w:sz="1"/>
              <w:left w:val="single" w:color="D4B8D0" w:sz="1"/>
              <w:bottom w:val="single" w:color="D4B8D0" w:sz="1"/>
              <w:right w:val="single" w:color="D4B8D0" w:sz="1"/>
            </w:tcBorders>
            <w:shd w:fill="FFFFFF" w:val="clear"/>
            <w:tcMar>
              <w:top w:type="dxa" w:w="90"/>
              <w:left w:type="dxa" w:w="140"/>
              <w:bottom w:type="dxa" w:w="90"/>
              <w:right w:type="dxa" w:w="140"/>
            </w:tcMar>
          </w:tcPr>
          <w:p>
            <w:r>
              <w:rPr>
                <w:rFonts w:ascii="Arial" w:cs="Arial" w:eastAsia="Arial" w:hAnsi="Arial"/>
                <w:color w:val="1A0A18"/>
                <w:sz w:val="20"/>
                <w:szCs w:val="20"/>
              </w:rPr>
              <w:t xml:space="preserve">MySQL — schema defined, migrations written</w:t>
            </w:r>
          </w:p>
        </w:tc>
      </w:tr>
      <w:tr>
        <w:tc>
          <w:tcPr>
            <w:tcW w:type="dxa" w:w="2400"/>
            <w:tcBorders>
              <w:top w:val="single" w:color="D4B8D0" w:sz="1"/>
              <w:left w:val="single" w:color="D4B8D0" w:sz="1"/>
              <w:bottom w:val="single" w:color="D4B8D0" w:sz="1"/>
              <w:right w:val="single" w:color="D4B8D0" w:sz="1"/>
            </w:tcBorders>
            <w:shd w:fill="F0E6F0" w:val="clear"/>
            <w:tcMar>
              <w:top w:type="dxa" w:w="90"/>
              <w:left w:type="dxa" w:w="140"/>
              <w:bottom w:type="dxa" w:w="90"/>
              <w:right w:type="dxa" w:w="140"/>
            </w:tcMar>
          </w:tcPr>
          <w:p>
            <w:r>
              <w:rPr>
                <w:rFonts w:ascii="Arial" w:cs="Arial" w:eastAsia="Arial" w:hAnsi="Arial"/>
                <w:b/>
                <w:bCs/>
                <w:color w:val="4B1248"/>
                <w:sz w:val="20"/>
                <w:szCs w:val="20"/>
              </w:rPr>
              <w:t xml:space="preserve">Deployment</w:t>
            </w:r>
          </w:p>
        </w:tc>
        <w:tc>
          <w:tcPr>
            <w:tcW w:type="dxa" w:w="6960"/>
            <w:tcBorders>
              <w:top w:val="single" w:color="D4B8D0" w:sz="1"/>
              <w:left w:val="single" w:color="D4B8D0" w:sz="1"/>
              <w:bottom w:val="single" w:color="D4B8D0" w:sz="1"/>
              <w:right w:val="single" w:color="D4B8D0" w:sz="1"/>
            </w:tcBorders>
            <w:shd w:fill="FAF0F8" w:val="clear"/>
            <w:tcMar>
              <w:top w:type="dxa" w:w="90"/>
              <w:left w:type="dxa" w:w="140"/>
              <w:bottom w:type="dxa" w:w="90"/>
              <w:right w:type="dxa" w:w="140"/>
            </w:tcMar>
          </w:tcPr>
          <w:p>
            <w:r>
              <w:rPr>
                <w:rFonts w:ascii="Arial" w:cs="Arial" w:eastAsia="Arial" w:hAnsi="Arial"/>
                <w:color w:val="1A0A18"/>
                <w:sz w:val="20"/>
                <w:szCs w:val="20"/>
              </w:rPr>
              <w:t xml:space="preserve">None. No production environment exists.</w:t>
            </w:r>
          </w:p>
        </w:tc>
      </w:tr>
      <w:tr>
        <w:tc>
          <w:tcPr>
            <w:tcW w:type="dxa" w:w="2400"/>
            <w:tcBorders>
              <w:top w:val="single" w:color="D4B8D0" w:sz="1"/>
              <w:left w:val="single" w:color="D4B8D0" w:sz="1"/>
              <w:bottom w:val="single" w:color="D4B8D0" w:sz="1"/>
              <w:right w:val="single" w:color="D4B8D0" w:sz="1"/>
            </w:tcBorders>
            <w:shd w:fill="FAF4F6" w:val="clear"/>
            <w:tcMar>
              <w:top w:type="dxa" w:w="90"/>
              <w:left w:type="dxa" w:w="140"/>
              <w:bottom w:type="dxa" w:w="90"/>
              <w:right w:type="dxa" w:w="140"/>
            </w:tcMar>
          </w:tcPr>
          <w:p>
            <w:r>
              <w:rPr>
                <w:rFonts w:ascii="Arial" w:cs="Arial" w:eastAsia="Arial" w:hAnsi="Arial"/>
                <w:b/>
                <w:bCs/>
                <w:color w:val="4B1248"/>
                <w:sz w:val="20"/>
                <w:szCs w:val="20"/>
              </w:rPr>
              <w:t xml:space="preserve">Testing</w:t>
            </w:r>
          </w:p>
        </w:tc>
        <w:tc>
          <w:tcPr>
            <w:tcW w:type="dxa" w:w="6960"/>
            <w:tcBorders>
              <w:top w:val="single" w:color="D4B8D0" w:sz="1"/>
              <w:left w:val="single" w:color="D4B8D0" w:sz="1"/>
              <w:bottom w:val="single" w:color="D4B8D0" w:sz="1"/>
              <w:right w:val="single" w:color="D4B8D0" w:sz="1"/>
            </w:tcBorders>
            <w:shd w:fill="FFFFFF" w:val="clear"/>
            <w:tcMar>
              <w:top w:type="dxa" w:w="90"/>
              <w:left w:type="dxa" w:w="140"/>
              <w:bottom w:type="dxa" w:w="90"/>
              <w:right w:type="dxa" w:w="140"/>
            </w:tcMar>
          </w:tcPr>
          <w:p>
            <w:r>
              <w:rPr>
                <w:rFonts w:ascii="Arial" w:cs="Arial" w:eastAsia="Arial" w:hAnsi="Arial"/>
                <w:color w:val="1A0A18"/>
                <w:sz w:val="20"/>
                <w:szCs w:val="20"/>
              </w:rPr>
              <w:t xml:space="preserve">None. No automated test suite exists.</w:t>
            </w:r>
          </w:p>
        </w:tc>
      </w:tr>
      <w:tr>
        <w:tc>
          <w:tcPr>
            <w:tcW w:type="dxa" w:w="2400"/>
            <w:tcBorders>
              <w:top w:val="single" w:color="D4B8D0" w:sz="1"/>
              <w:left w:val="single" w:color="D4B8D0" w:sz="1"/>
              <w:bottom w:val="single" w:color="D4B8D0" w:sz="1"/>
              <w:right w:val="single" w:color="D4B8D0" w:sz="1"/>
            </w:tcBorders>
            <w:shd w:fill="F0E6F0" w:val="clear"/>
            <w:tcMar>
              <w:top w:type="dxa" w:w="90"/>
              <w:left w:type="dxa" w:w="140"/>
              <w:bottom w:type="dxa" w:w="90"/>
              <w:right w:type="dxa" w:w="140"/>
            </w:tcMar>
          </w:tcPr>
          <w:p>
            <w:r>
              <w:rPr>
                <w:rFonts w:ascii="Arial" w:cs="Arial" w:eastAsia="Arial" w:hAnsi="Arial"/>
                <w:b/>
                <w:bCs/>
                <w:color w:val="4B1248"/>
                <w:sz w:val="20"/>
                <w:szCs w:val="20"/>
              </w:rPr>
              <w:t xml:space="preserve">Monitoring</w:t>
            </w:r>
          </w:p>
        </w:tc>
        <w:tc>
          <w:tcPr>
            <w:tcW w:type="dxa" w:w="6960"/>
            <w:tcBorders>
              <w:top w:val="single" w:color="D4B8D0" w:sz="1"/>
              <w:left w:val="single" w:color="D4B8D0" w:sz="1"/>
              <w:bottom w:val="single" w:color="D4B8D0" w:sz="1"/>
              <w:right w:val="single" w:color="D4B8D0" w:sz="1"/>
            </w:tcBorders>
            <w:shd w:fill="FAF0F8" w:val="clear"/>
            <w:tcMar>
              <w:top w:type="dxa" w:w="90"/>
              <w:left w:type="dxa" w:w="140"/>
              <w:bottom w:type="dxa" w:w="90"/>
              <w:right w:type="dxa" w:w="140"/>
            </w:tcMar>
          </w:tcPr>
          <w:p>
            <w:r>
              <w:rPr>
                <w:rFonts w:ascii="Arial" w:cs="Arial" w:eastAsia="Arial" w:hAnsi="Arial"/>
                <w:color w:val="1A0A18"/>
                <w:sz w:val="20"/>
                <w:szCs w:val="20"/>
              </w:rPr>
              <w:t xml:space="preserve">None. No visibility into uptime or errors.</w:t>
            </w:r>
          </w:p>
        </w:tc>
      </w:tr>
      <w:tr>
        <w:tc>
          <w:tcPr>
            <w:tcW w:type="dxa" w:w="2400"/>
            <w:tcBorders>
              <w:top w:val="single" w:color="D4B8D0" w:sz="1"/>
              <w:left w:val="single" w:color="D4B8D0" w:sz="1"/>
              <w:bottom w:val="single" w:color="D4B8D0" w:sz="1"/>
              <w:right w:val="single" w:color="D4B8D0" w:sz="1"/>
            </w:tcBorders>
            <w:shd w:fill="FAF4F6" w:val="clear"/>
            <w:tcMar>
              <w:top w:type="dxa" w:w="90"/>
              <w:left w:type="dxa" w:w="140"/>
              <w:bottom w:type="dxa" w:w="90"/>
              <w:right w:type="dxa" w:w="140"/>
            </w:tcMar>
          </w:tcPr>
          <w:p>
            <w:r>
              <w:rPr>
                <w:rFonts w:ascii="Arial" w:cs="Arial" w:eastAsia="Arial" w:hAnsi="Arial"/>
                <w:b/>
                <w:bCs/>
                <w:color w:val="4B1248"/>
                <w:sz w:val="20"/>
                <w:szCs w:val="20"/>
              </w:rPr>
              <w:t xml:space="preserve">CRM</w:t>
            </w:r>
          </w:p>
        </w:tc>
        <w:tc>
          <w:tcPr>
            <w:tcW w:type="dxa" w:w="6960"/>
            <w:tcBorders>
              <w:top w:val="single" w:color="D4B8D0" w:sz="1"/>
              <w:left w:val="single" w:color="D4B8D0" w:sz="1"/>
              <w:bottom w:val="single" w:color="D4B8D0" w:sz="1"/>
              <w:right w:val="single" w:color="D4B8D0" w:sz="1"/>
            </w:tcBorders>
            <w:shd w:fill="FFFFFF" w:val="clear"/>
            <w:tcMar>
              <w:top w:type="dxa" w:w="90"/>
              <w:left w:type="dxa" w:w="140"/>
              <w:bottom w:type="dxa" w:w="90"/>
              <w:right w:type="dxa" w:w="140"/>
            </w:tcMar>
          </w:tcPr>
          <w:p>
            <w:r>
              <w:rPr>
                <w:rFonts w:ascii="Arial" w:cs="Arial" w:eastAsia="Arial" w:hAnsi="Arial"/>
                <w:color w:val="1A0A18"/>
                <w:sz w:val="20"/>
                <w:szCs w:val="20"/>
              </w:rPr>
              <w:t xml:space="preserve">None. Leads land in the database with no interface to view them.</w:t>
            </w:r>
          </w:p>
        </w:tc>
      </w:tr>
    </w:tbl>
    <w:p>
      <w:pPr>
        <w:spacing w:after="0" w:before="180"/>
      </w:pPr>
    </w:p>
    <w:p>
      <w:pPr>
        <w:spacing w:after="140" w:before="80"/>
      </w:pPr>
      <w:r>
        <w:rPr>
          <w:rFonts w:ascii="Arial" w:cs="Arial" w:eastAsia="Arial" w:hAnsi="Arial"/>
          <w:b w:val="false"/>
          <w:bCs w:val="false"/>
          <w:i w:val="false"/>
          <w:iCs w:val="false"/>
          <w:color w:val="1A0A18"/>
          <w:sz w:val="22"/>
          <w:szCs w:val="22"/>
        </w:rPr>
        <w:t xml:space="preserve">This document proposes the tooling to close every one of these gaps before any customer traffic is directed to the platform.</w:t>
      </w:r>
    </w:p>
    <w:p>
      <w:r>
        <w:br w:type="page"/>
      </w:r>
    </w:p>
    <w:p>
      <w:pPr>
        <w:pStyle w:val="Heading1"/>
      </w:pPr>
      <w:r>
        <w:t xml:space="preserve">3.  Continuous Integration and Deployment (CI/CD)</w:t>
      </w:r>
    </w:p>
    <w:p>
      <w:pPr>
        <w:pBdr>
          <w:bottom w:val="single" w:color="D4B8D0" w:sz="4" w:space="1"/>
        </w:pBdr>
        <w:spacing w:after="180" w:before="0"/>
      </w:pPr>
    </w:p>
    <w:p>
      <w:pPr>
        <w:pStyle w:val="Heading2"/>
      </w:pPr>
      <w:r>
        <w:t xml:space="preserve">3.1  The Problem</w:t>
      </w:r>
    </w:p>
    <w:p>
      <w:pPr>
        <w:spacing w:after="140" w:before="80"/>
      </w:pPr>
      <w:r>
        <w:rPr>
          <w:rFonts w:ascii="Arial" w:cs="Arial" w:eastAsia="Arial" w:hAnsi="Arial"/>
          <w:b w:val="false"/>
          <w:bCs w:val="false"/>
          <w:i w:val="false"/>
          <w:iCs w:val="false"/>
          <w:color w:val="1A0A18"/>
          <w:sz w:val="22"/>
          <w:szCs w:val="22"/>
        </w:rPr>
        <w:t xml:space="preserve">Currently, deploying a code change requires a developer to manually connect to the server, pull the latest code, rebuild the frontend, restart the backend, and verify nothing broke. This process is error-prone and impossible to audit. A single missed step risks taking the site offline.</w:t>
      </w:r>
    </w:p>
    <w:p>
      <w:pPr>
        <w:pStyle w:val="Heading2"/>
      </w:pPr>
      <w:r>
        <w:t xml:space="preserve">3.2  What CI/CD Does</w:t>
      </w:r>
    </w:p>
    <w:p>
      <w:pPr>
        <w:spacing w:after="140" w:before="80"/>
      </w:pPr>
      <w:r>
        <w:rPr>
          <w:rFonts w:ascii="Arial" w:cs="Arial" w:eastAsia="Arial" w:hAnsi="Arial"/>
          <w:b w:val="false"/>
          <w:bCs w:val="false"/>
          <w:i w:val="false"/>
          <w:iCs w:val="false"/>
          <w:color w:val="1A0A18"/>
          <w:sz w:val="22"/>
          <w:szCs w:val="22"/>
        </w:rPr>
        <w:t xml:space="preserve">CI/CD automates the entire process. When a developer pushes code to the main branch, the pipeline triggers automatically — it builds the application, runs all tests, and if everything passes, deploys to the server. If anything fails, the deployment stops and the live site is untouched.</w:t>
      </w:r>
    </w:p>
    <w:p>
      <w:pPr>
        <w:pStyle w:val="Heading2"/>
      </w:pPr>
      <w:r>
        <w:t xml:space="preserve">3.3  Tools Required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6B1A67" w:sz="1"/>
              <w:left w:val="single" w:color="6B1A67" w:sz="1"/>
              <w:bottom w:val="single" w:color="6B1A67" w:sz="1"/>
              <w:right w:val="single" w:color="6B1A67" w:sz="1"/>
            </w:tcBorders>
            <w:shd w:fill="4B1248" w:val="clear"/>
            <w:tcMar>
              <w:top w:type="dxa" w:w="100"/>
              <w:left w:type="dxa" w:w="120"/>
              <w:bottom w:type="dxa" w:w="100"/>
              <w:right w:type="dxa" w:w="120"/>
            </w:tcMar>
          </w:tcPr>
          <w:p>
            <w:r>
              <w:rPr>
                <w:rFonts w:ascii="Arial" w:cs="Arial" w:eastAsia="Arial" w:hAnsi="Arial"/>
                <w:b/>
                <w:bCs/>
                <w:color w:val="FFFFFF"/>
                <w:sz w:val="20"/>
                <w:szCs w:val="20"/>
              </w:rPr>
              <w:t xml:space="preserve">Service / Tool</w:t>
            </w:r>
          </w:p>
        </w:tc>
        <w:tc>
          <w:tcPr>
            <w:tcW w:type="dxa" w:w="3480"/>
            <w:tcBorders>
              <w:top w:val="single" w:color="6B1A67" w:sz="1"/>
              <w:left w:val="single" w:color="6B1A67" w:sz="1"/>
              <w:bottom w:val="single" w:color="6B1A67" w:sz="1"/>
              <w:right w:val="single" w:color="6B1A67" w:sz="1"/>
            </w:tcBorders>
            <w:shd w:fill="4B1248"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3880"/>
            <w:tcBorders>
              <w:top w:val="single" w:color="6B1A67" w:sz="1"/>
              <w:left w:val="single" w:color="6B1A67" w:sz="1"/>
              <w:bottom w:val="single" w:color="6B1A67" w:sz="1"/>
              <w:right w:val="single" w:color="6B1A67" w:sz="1"/>
            </w:tcBorders>
            <w:shd w:fill="4B1248" w:val="clear"/>
            <w:tcMar>
              <w:top w:type="dxa" w:w="100"/>
              <w:left w:type="dxa" w:w="120"/>
              <w:bottom w:type="dxa" w:w="100"/>
              <w:right w:type="dxa" w:w="120"/>
            </w:tcMar>
          </w:tcPr>
          <w:p>
            <w:r>
              <w:rPr>
                <w:rFonts w:ascii="Arial" w:cs="Arial" w:eastAsia="Arial" w:hAnsi="Arial"/>
                <w:b/>
                <w:bCs/>
                <w:color w:val="FFFFFF"/>
                <w:sz w:val="20"/>
                <w:szCs w:val="20"/>
              </w:rPr>
              <w:t xml:space="preserve">Justification</w:t>
            </w:r>
          </w:p>
        </w:tc>
      </w:tr>
      <w:tr>
        <w:tc>
          <w:tcPr>
            <w:tcW w:type="dxa" w:w="20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4B1248"/>
                <w:sz w:val="19"/>
                <w:szCs w:val="19"/>
              </w:rPr>
              <w:t xml:space="preserve">Jenkins</w:t>
            </w:r>
          </w:p>
        </w:tc>
        <w:tc>
          <w:tcPr>
            <w:tcW w:type="dxa" w:w="348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Orchestrates the full build, test, and deploy pipeline on every push to the main branch.</w:t>
            </w:r>
          </w:p>
        </w:tc>
        <w:tc>
          <w:tcPr>
            <w:tcW w:type="dxa" w:w="388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Open-source, self-hosted, zero licensing cost. Industry standard for on-premise pipelines. Keeps all deployment credentials on our own infrastructure.</w:t>
            </w:r>
          </w:p>
        </w:tc>
      </w:tr>
      <w:tr>
        <w:tc>
          <w:tcPr>
            <w:tcW w:type="dxa" w:w="20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4B1248"/>
                <w:sz w:val="19"/>
                <w:szCs w:val="19"/>
              </w:rPr>
              <w:t xml:space="preserve">GitHub Webhooks</w:t>
            </w:r>
          </w:p>
        </w:tc>
        <w:tc>
          <w:tcPr>
            <w:tcW w:type="dxa" w:w="348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Notifies Jenkins the moment code is pushed so the pipeline starts immediately.</w:t>
            </w:r>
          </w:p>
        </w:tc>
        <w:tc>
          <w:tcPr>
            <w:tcW w:type="dxa" w:w="388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Native GitHub feature. Zero cost. No additional tooling required.</w:t>
            </w:r>
          </w:p>
        </w:tc>
      </w:tr>
      <w:tr>
        <w:tc>
          <w:tcPr>
            <w:tcW w:type="dxa" w:w="20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4B1248"/>
                <w:sz w:val="19"/>
                <w:szCs w:val="19"/>
              </w:rPr>
              <w:t xml:space="preserve">Nginx</w:t>
            </w:r>
          </w:p>
        </w:tc>
        <w:tc>
          <w:tcPr>
            <w:tcW w:type="dxa" w:w="348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Serves the compiled Angular frontend and routes API requests to Laravel.</w:t>
            </w:r>
          </w:p>
        </w:tc>
        <w:tc>
          <w:tcPr>
            <w:tcW w:type="dxa" w:w="388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Standard on Linux servers. Handles SSL termination and subdomain routing.</w:t>
            </w:r>
          </w:p>
        </w:tc>
      </w:tr>
      <w:tr>
        <w:tc>
          <w:tcPr>
            <w:tcW w:type="dxa" w:w="20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4B1248"/>
                <w:sz w:val="19"/>
                <w:szCs w:val="19"/>
              </w:rPr>
              <w:t xml:space="preserve">PM2 / Supervisor</w:t>
            </w:r>
          </w:p>
        </w:tc>
        <w:tc>
          <w:tcPr>
            <w:tcW w:type="dxa" w:w="348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Keeps the Laravel queue worker and background processes alive on the server at all times.</w:t>
            </w:r>
          </w:p>
        </w:tc>
        <w:tc>
          <w:tcPr>
            <w:tcW w:type="dxa" w:w="388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Lightweight, battle-tested, restarts crashed processes automatically.</w:t>
            </w:r>
          </w:p>
        </w:tc>
      </w:tr>
    </w:tbl>
    <w:p>
      <w:pPr>
        <w:pStyle w:val="Heading2"/>
      </w:pPr>
      <w:r>
        <w:t xml:space="preserve">3.4  Pipeline Stages</w:t>
      </w:r>
    </w:p>
    <w:p>
      <w:pPr>
        <w:spacing w:after="140" w:before="80"/>
      </w:pPr>
      <w:r>
        <w:rPr>
          <w:rFonts w:ascii="Arial" w:cs="Arial" w:eastAsia="Arial" w:hAnsi="Arial"/>
          <w:b w:val="false"/>
          <w:bCs w:val="false"/>
          <w:i w:val="false"/>
          <w:iCs w:val="false"/>
          <w:color w:val="1A0A18"/>
          <w:sz w:val="22"/>
          <w:szCs w:val="22"/>
        </w:rPr>
        <w:t xml:space="preserve">Each stage runs in sequence. Any failure stops subsequent stages and leaves the live site unchanged.</w:t>
      </w:r>
    </w:p>
    <w:p>
      <w:pPr>
        <w:pStyle w:val="ListParagraph"/>
        <w:numPr>
          <w:ilvl w:val="0"/>
          <w:numId w:val="2"/>
        </w:numPr>
        <w:spacing w:after="40" w:before="40"/>
      </w:pPr>
      <w:r>
        <w:rPr>
          <w:rFonts w:ascii="Arial" w:cs="Arial" w:eastAsia="Arial" w:hAnsi="Arial"/>
          <w:color w:val="1A0A18"/>
          <w:sz w:val="22"/>
          <w:szCs w:val="22"/>
        </w:rPr>
        <w:t xml:space="preserve">Checkout — Jenkins pulls the latest code from GitHub</w:t>
      </w:r>
    </w:p>
    <w:p>
      <w:pPr>
        <w:pStyle w:val="ListParagraph"/>
        <w:numPr>
          <w:ilvl w:val="0"/>
          <w:numId w:val="2"/>
        </w:numPr>
        <w:spacing w:after="40" w:before="40"/>
      </w:pPr>
      <w:r>
        <w:rPr>
          <w:rFonts w:ascii="Arial" w:cs="Arial" w:eastAsia="Arial" w:hAnsi="Arial"/>
          <w:color w:val="1A0A18"/>
          <w:sz w:val="22"/>
          <w:szCs w:val="22"/>
        </w:rPr>
        <w:t xml:space="preserve">Build Frontend — installs Node dependencies and compiles Angular to static files</w:t>
      </w:r>
    </w:p>
    <w:p>
      <w:pPr>
        <w:pStyle w:val="ListParagraph"/>
        <w:numPr>
          <w:ilvl w:val="0"/>
          <w:numId w:val="2"/>
        </w:numPr>
        <w:spacing w:after="40" w:before="40"/>
      </w:pPr>
      <w:r>
        <w:rPr>
          <w:rFonts w:ascii="Arial" w:cs="Arial" w:eastAsia="Arial" w:hAnsi="Arial"/>
          <w:color w:val="1A0A18"/>
          <w:sz w:val="22"/>
          <w:szCs w:val="22"/>
        </w:rPr>
        <w:t xml:space="preserve">Build Backend — installs PHP dependencies and caches Laravel configuration</w:t>
      </w:r>
    </w:p>
    <w:p>
      <w:pPr>
        <w:pStyle w:val="ListParagraph"/>
        <w:numPr>
          <w:ilvl w:val="0"/>
          <w:numId w:val="2"/>
        </w:numPr>
        <w:spacing w:after="40" w:before="40"/>
      </w:pPr>
      <w:r>
        <w:rPr>
          <w:rFonts w:ascii="Arial" w:cs="Arial" w:eastAsia="Arial" w:hAnsi="Arial"/>
          <w:color w:val="1A0A18"/>
          <w:sz w:val="22"/>
          <w:szCs w:val="22"/>
        </w:rPr>
        <w:t xml:space="preserve">Test — runs the Selenium automated test suite</w:t>
      </w:r>
    </w:p>
    <w:p>
      <w:pPr>
        <w:pStyle w:val="ListParagraph"/>
        <w:numPr>
          <w:ilvl w:val="0"/>
          <w:numId w:val="2"/>
        </w:numPr>
        <w:spacing w:after="40" w:before="40"/>
      </w:pPr>
      <w:r>
        <w:rPr>
          <w:rFonts w:ascii="Arial" w:cs="Arial" w:eastAsia="Arial" w:hAnsi="Arial"/>
          <w:color w:val="1A0A18"/>
          <w:sz w:val="22"/>
          <w:szCs w:val="22"/>
        </w:rPr>
        <w:t xml:space="preserve">Deploy — copies the compiled code to the server and restarts the backend. Runs only when all prior stages pass and only on the main branch.</w:t>
      </w:r>
    </w:p>
    <w:p>
      <w:r>
        <w:br w:type="page"/>
      </w:r>
    </w:p>
    <w:p>
      <w:pPr>
        <w:pStyle w:val="Heading1"/>
      </w:pPr>
      <w:r>
        <w:t xml:space="preserve">4.  Automated Testing</w:t>
      </w:r>
    </w:p>
    <w:p>
      <w:pPr>
        <w:pBdr>
          <w:bottom w:val="single" w:color="D4B8D0" w:sz="4" w:space="1"/>
        </w:pBdr>
        <w:spacing w:after="180" w:before="0"/>
      </w:pPr>
    </w:p>
    <w:p>
      <w:pPr>
        <w:pStyle w:val="Heading2"/>
      </w:pPr>
      <w:r>
        <w:t xml:space="preserve">4.1  The Problem</w:t>
      </w:r>
    </w:p>
    <w:p>
      <w:pPr>
        <w:spacing w:after="140" w:before="80"/>
      </w:pPr>
      <w:r>
        <w:rPr>
          <w:rFonts w:ascii="Arial" w:cs="Arial" w:eastAsia="Arial" w:hAnsi="Arial"/>
          <w:b w:val="false"/>
          <w:bCs w:val="false"/>
          <w:i w:val="false"/>
          <w:iCs w:val="false"/>
          <w:color w:val="1A0A18"/>
          <w:sz w:val="22"/>
          <w:szCs w:val="22"/>
        </w:rPr>
        <w:t xml:space="preserve">Without automated tests, every deployment requires a developer to manually click through the site and verify it still works. As the platform grows this becomes impractical. More critically, issues reach production undetected because no systematic check exists before release.</w:t>
      </w:r>
    </w:p>
    <w:p>
      <w:pPr>
        <w:pStyle w:val="Heading2"/>
      </w:pPr>
      <w:r>
        <w:t xml:space="preserve">4.2  What Testing Does</w:t>
      </w:r>
    </w:p>
    <w:p>
      <w:pPr>
        <w:spacing w:after="140" w:before="80"/>
      </w:pPr>
      <w:r>
        <w:rPr>
          <w:rFonts w:ascii="Arial" w:cs="Arial" w:eastAsia="Arial" w:hAnsi="Arial"/>
          <w:b w:val="false"/>
          <w:bCs w:val="false"/>
          <w:i w:val="false"/>
          <w:iCs w:val="false"/>
          <w:color w:val="1A0A18"/>
          <w:sz w:val="22"/>
          <w:szCs w:val="22"/>
        </w:rPr>
        <w:t xml:space="preserve">Automated tests run inside the pipeline before every deployment. They open a real browser, simulate real user actions, and verify the application behaves correctly. If a code change breaks the intake form or navigation, the test catches it and the deployment does not proceed.</w:t>
      </w:r>
    </w:p>
    <w:p>
      <w:pPr>
        <w:pStyle w:val="Heading2"/>
      </w:pPr>
      <w:r>
        <w:t xml:space="preserve">4.3  Tools Required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6B1A67" w:sz="1"/>
              <w:left w:val="single" w:color="6B1A67" w:sz="1"/>
              <w:bottom w:val="single" w:color="6B1A67" w:sz="1"/>
              <w:right w:val="single" w:color="6B1A67" w:sz="1"/>
            </w:tcBorders>
            <w:shd w:fill="4B1248" w:val="clear"/>
            <w:tcMar>
              <w:top w:type="dxa" w:w="100"/>
              <w:left w:type="dxa" w:w="120"/>
              <w:bottom w:type="dxa" w:w="100"/>
              <w:right w:type="dxa" w:w="120"/>
            </w:tcMar>
          </w:tcPr>
          <w:p>
            <w:r>
              <w:rPr>
                <w:rFonts w:ascii="Arial" w:cs="Arial" w:eastAsia="Arial" w:hAnsi="Arial"/>
                <w:b/>
                <w:bCs/>
                <w:color w:val="FFFFFF"/>
                <w:sz w:val="20"/>
                <w:szCs w:val="20"/>
              </w:rPr>
              <w:t xml:space="preserve">Service / Tool</w:t>
            </w:r>
          </w:p>
        </w:tc>
        <w:tc>
          <w:tcPr>
            <w:tcW w:type="dxa" w:w="3480"/>
            <w:tcBorders>
              <w:top w:val="single" w:color="6B1A67" w:sz="1"/>
              <w:left w:val="single" w:color="6B1A67" w:sz="1"/>
              <w:bottom w:val="single" w:color="6B1A67" w:sz="1"/>
              <w:right w:val="single" w:color="6B1A67" w:sz="1"/>
            </w:tcBorders>
            <w:shd w:fill="4B1248"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3880"/>
            <w:tcBorders>
              <w:top w:val="single" w:color="6B1A67" w:sz="1"/>
              <w:left w:val="single" w:color="6B1A67" w:sz="1"/>
              <w:bottom w:val="single" w:color="6B1A67" w:sz="1"/>
              <w:right w:val="single" w:color="6B1A67" w:sz="1"/>
            </w:tcBorders>
            <w:shd w:fill="4B1248" w:val="clear"/>
            <w:tcMar>
              <w:top w:type="dxa" w:w="100"/>
              <w:left w:type="dxa" w:w="120"/>
              <w:bottom w:type="dxa" w:w="100"/>
              <w:right w:type="dxa" w:w="120"/>
            </w:tcMar>
          </w:tcPr>
          <w:p>
            <w:r>
              <w:rPr>
                <w:rFonts w:ascii="Arial" w:cs="Arial" w:eastAsia="Arial" w:hAnsi="Arial"/>
                <w:b/>
                <w:bCs/>
                <w:color w:val="FFFFFF"/>
                <w:sz w:val="20"/>
                <w:szCs w:val="20"/>
              </w:rPr>
              <w:t xml:space="preserve">Justification</w:t>
            </w:r>
          </w:p>
        </w:tc>
      </w:tr>
      <w:tr>
        <w:tc>
          <w:tcPr>
            <w:tcW w:type="dxa" w:w="20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4B1248"/>
                <w:sz w:val="19"/>
                <w:szCs w:val="19"/>
              </w:rPr>
              <w:t xml:space="preserve">Selenium WebDriver</w:t>
            </w:r>
          </w:p>
        </w:tc>
        <w:tc>
          <w:tcPr>
            <w:tcW w:type="dxa" w:w="348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Controls a real Chrome browser instance to simulate user interactions — clicking, typing, navigating — exactly as a real user would.</w:t>
            </w:r>
          </w:p>
        </w:tc>
        <w:tc>
          <w:tcPr>
            <w:tcW w:type="dxa" w:w="388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Industry standard for end-to-end UI testing. Supports headless execution in CI pipelines. Widely documented.</w:t>
            </w:r>
          </w:p>
        </w:tc>
      </w:tr>
      <w:tr>
        <w:tc>
          <w:tcPr>
            <w:tcW w:type="dxa" w:w="20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4B1248"/>
                <w:sz w:val="19"/>
                <w:szCs w:val="19"/>
              </w:rPr>
              <w:t xml:space="preserve">Python + pytest</w:t>
            </w:r>
          </w:p>
        </w:tc>
        <w:tc>
          <w:tcPr>
            <w:tcW w:type="dxa" w:w="348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Language and test runner used to write and execute the Selenium test scripts.</w:t>
            </w:r>
          </w:p>
        </w:tc>
        <w:tc>
          <w:tcPr>
            <w:tcW w:type="dxa" w:w="388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Minimal boilerplate, clear output. Integrates cleanly with Selenium and Jenkins.</w:t>
            </w:r>
          </w:p>
        </w:tc>
      </w:tr>
      <w:tr>
        <w:tc>
          <w:tcPr>
            <w:tcW w:type="dxa" w:w="20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4B1248"/>
                <w:sz w:val="19"/>
                <w:szCs w:val="19"/>
              </w:rPr>
              <w:t xml:space="preserve">ChromeDriver (Headless)</w:t>
            </w:r>
          </w:p>
        </w:tc>
        <w:tc>
          <w:tcPr>
            <w:tcW w:type="dxa" w:w="348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Runs Chrome without a visible window so tests execute on a server with no display.</w:t>
            </w:r>
          </w:p>
        </w:tc>
        <w:tc>
          <w:tcPr>
            <w:tcW w:type="dxa" w:w="388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Matches the primary browser of ShaadiMe users. Runs cleanly inside the Jenkins pipeline.</w:t>
            </w:r>
          </w:p>
        </w:tc>
      </w:tr>
    </w:tbl>
    <w:p>
      <w:pPr>
        <w:pStyle w:val="Heading2"/>
      </w:pPr>
      <w:r>
        <w:t xml:space="preserve">4.4  Initial Test Coverage</w:t>
      </w:r>
    </w:p>
    <w:p>
      <w:pPr>
        <w:pStyle w:val="ListParagraph"/>
        <w:numPr>
          <w:ilvl w:val="0"/>
          <w:numId w:val="2"/>
        </w:numPr>
        <w:spacing w:after="40" w:before="40"/>
      </w:pPr>
      <w:r>
        <w:rPr>
          <w:rFonts w:ascii="Arial" w:cs="Arial" w:eastAsia="Arial" w:hAnsi="Arial"/>
          <w:color w:val="1A0A18"/>
          <w:sz w:val="22"/>
          <w:szCs w:val="22"/>
        </w:rPr>
        <w:t xml:space="preserve">Homepage loads with hero, cities, venues, and FAQ sections visible</w:t>
      </w:r>
    </w:p>
    <w:p>
      <w:pPr>
        <w:pStyle w:val="ListParagraph"/>
        <w:numPr>
          <w:ilvl w:val="0"/>
          <w:numId w:val="2"/>
        </w:numPr>
        <w:spacing w:after="40" w:before="40"/>
      </w:pPr>
      <w:r>
        <w:rPr>
          <w:rFonts w:ascii="Arial" w:cs="Arial" w:eastAsia="Arial" w:hAnsi="Arial"/>
          <w:color w:val="1A0A18"/>
          <w:sz w:val="22"/>
          <w:szCs w:val="22"/>
        </w:rPr>
        <w:t xml:space="preserve">'Start Planning' button navigates to the /plan route</w:t>
      </w:r>
    </w:p>
    <w:p>
      <w:pPr>
        <w:pStyle w:val="ListParagraph"/>
        <w:numPr>
          <w:ilvl w:val="0"/>
          <w:numId w:val="2"/>
        </w:numPr>
        <w:spacing w:after="40" w:before="40"/>
      </w:pPr>
      <w:r>
        <w:rPr>
          <w:rFonts w:ascii="Arial" w:cs="Arial" w:eastAsia="Arial" w:hAnsi="Arial"/>
          <w:color w:val="1A0A18"/>
          <w:sz w:val="22"/>
          <w:szCs w:val="22"/>
        </w:rPr>
        <w:t xml:space="preserve">Intake form accepts name and phone fields and advances to Step 2</w:t>
      </w:r>
    </w:p>
    <w:p>
      <w:pPr>
        <w:pStyle w:val="ListParagraph"/>
        <w:numPr>
          <w:ilvl w:val="0"/>
          <w:numId w:val="2"/>
        </w:numPr>
        <w:spacing w:after="40" w:before="40"/>
      </w:pPr>
      <w:r>
        <w:rPr>
          <w:rFonts w:ascii="Arial" w:cs="Arial" w:eastAsia="Arial" w:hAnsi="Arial"/>
          <w:color w:val="1A0A18"/>
          <w:sz w:val="22"/>
          <w:szCs w:val="22"/>
        </w:rPr>
        <w:t xml:space="preserve">Intake form submission reaches the API and displays the success screen</w:t>
      </w:r>
    </w:p>
    <w:p>
      <w:pPr>
        <w:pStyle w:val="ListParagraph"/>
        <w:numPr>
          <w:ilvl w:val="0"/>
          <w:numId w:val="2"/>
        </w:numPr>
        <w:spacing w:after="40" w:before="40"/>
      </w:pPr>
      <w:r>
        <w:rPr>
          <w:rFonts w:ascii="Arial" w:cs="Arial" w:eastAsia="Arial" w:hAnsi="Arial"/>
          <w:color w:val="1A0A18"/>
          <w:sz w:val="22"/>
          <w:szCs w:val="22"/>
        </w:rPr>
        <w:t xml:space="preserve">CRM login page is accessible at crm.shaadi.me</w:t>
      </w:r>
    </w:p>
    <w:p>
      <w:pPr>
        <w:pStyle w:val="ListParagraph"/>
        <w:numPr>
          <w:ilvl w:val="0"/>
          <w:numId w:val="2"/>
        </w:numPr>
        <w:spacing w:after="40" w:before="40"/>
      </w:pPr>
      <w:r>
        <w:rPr>
          <w:rFonts w:ascii="Arial" w:cs="Arial" w:eastAsia="Arial" w:hAnsi="Arial"/>
          <w:color w:val="1A0A18"/>
          <w:sz w:val="22"/>
          <w:szCs w:val="22"/>
        </w:rPr>
        <w:t xml:space="preserve">CRM leads table loads correctly after authentication</w:t>
      </w:r>
    </w:p>
    <w:p>
      <w:r>
        <w:br w:type="page"/>
      </w:r>
    </w:p>
    <w:p>
      <w:pPr>
        <w:pStyle w:val="Heading1"/>
      </w:pPr>
      <w:r>
        <w:t xml:space="preserve">5.  Production Monitoring and Alerting</w:t>
      </w:r>
    </w:p>
    <w:p>
      <w:pPr>
        <w:pBdr>
          <w:bottom w:val="single" w:color="D4B8D0" w:sz="4" w:space="1"/>
        </w:pBdr>
        <w:spacing w:after="180" w:before="0"/>
      </w:pPr>
    </w:p>
    <w:p>
      <w:pPr>
        <w:pStyle w:val="Heading2"/>
      </w:pPr>
      <w:r>
        <w:t xml:space="preserve">5.1  The Problem</w:t>
      </w:r>
    </w:p>
    <w:p>
      <w:pPr>
        <w:spacing w:after="140" w:before="80"/>
      </w:pPr>
      <w:r>
        <w:rPr>
          <w:rFonts w:ascii="Arial" w:cs="Arial" w:eastAsia="Arial" w:hAnsi="Arial"/>
          <w:b w:val="false"/>
          <w:bCs w:val="false"/>
          <w:i w:val="false"/>
          <w:iCs w:val="false"/>
          <w:color w:val="1A0A18"/>
          <w:sz w:val="22"/>
          <w:szCs w:val="22"/>
        </w:rPr>
        <w:t xml:space="preserve">Once the platform is live, issues will occur — a server running out of memory, response times spiking, a backend process crashing. Without monitoring, the team only discovers these when a customer complains or the site goes down entirely. There is no early warning and no history to diagnose the cause.</w:t>
      </w:r>
    </w:p>
    <w:p>
      <w:pPr>
        <w:pStyle w:val="Heading2"/>
      </w:pPr>
      <w:r>
        <w:t xml:space="preserve">5.2  What Monitoring Does</w:t>
      </w:r>
    </w:p>
    <w:p>
      <w:pPr>
        <w:spacing w:after="140" w:before="80"/>
      </w:pPr>
      <w:r>
        <w:rPr>
          <w:rFonts w:ascii="Arial" w:cs="Arial" w:eastAsia="Arial" w:hAnsi="Arial"/>
          <w:b w:val="false"/>
          <w:bCs w:val="false"/>
          <w:i w:val="false"/>
          <w:iCs w:val="false"/>
          <w:color w:val="1A0A18"/>
          <w:sz w:val="22"/>
          <w:szCs w:val="22"/>
        </w:rPr>
        <w:t xml:space="preserve">Monitoring gives the team real-time visibility into the health of the live system. It stores a continuous history of metrics and triggers alerts when something crosses a threshold — before users notice a problem. The team moves from reactive fire-fighting to proactive awareness.</w:t>
      </w:r>
    </w:p>
    <w:p>
      <w:pPr>
        <w:pStyle w:val="Heading2"/>
      </w:pPr>
      <w:r>
        <w:t xml:space="preserve">5.3  Tools Required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6B1A67" w:sz="1"/>
              <w:left w:val="single" w:color="6B1A67" w:sz="1"/>
              <w:bottom w:val="single" w:color="6B1A67" w:sz="1"/>
              <w:right w:val="single" w:color="6B1A67" w:sz="1"/>
            </w:tcBorders>
            <w:shd w:fill="4B1248" w:val="clear"/>
            <w:tcMar>
              <w:top w:type="dxa" w:w="100"/>
              <w:left w:type="dxa" w:w="120"/>
              <w:bottom w:type="dxa" w:w="100"/>
              <w:right w:type="dxa" w:w="120"/>
            </w:tcMar>
          </w:tcPr>
          <w:p>
            <w:r>
              <w:rPr>
                <w:rFonts w:ascii="Arial" w:cs="Arial" w:eastAsia="Arial" w:hAnsi="Arial"/>
                <w:b/>
                <w:bCs/>
                <w:color w:val="FFFFFF"/>
                <w:sz w:val="20"/>
                <w:szCs w:val="20"/>
              </w:rPr>
              <w:t xml:space="preserve">Service / Tool</w:t>
            </w:r>
          </w:p>
        </w:tc>
        <w:tc>
          <w:tcPr>
            <w:tcW w:type="dxa" w:w="3480"/>
            <w:tcBorders>
              <w:top w:val="single" w:color="6B1A67" w:sz="1"/>
              <w:left w:val="single" w:color="6B1A67" w:sz="1"/>
              <w:bottom w:val="single" w:color="6B1A67" w:sz="1"/>
              <w:right w:val="single" w:color="6B1A67" w:sz="1"/>
            </w:tcBorders>
            <w:shd w:fill="4B1248"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3880"/>
            <w:tcBorders>
              <w:top w:val="single" w:color="6B1A67" w:sz="1"/>
              <w:left w:val="single" w:color="6B1A67" w:sz="1"/>
              <w:bottom w:val="single" w:color="6B1A67" w:sz="1"/>
              <w:right w:val="single" w:color="6B1A67" w:sz="1"/>
            </w:tcBorders>
            <w:shd w:fill="4B1248" w:val="clear"/>
            <w:tcMar>
              <w:top w:type="dxa" w:w="100"/>
              <w:left w:type="dxa" w:w="120"/>
              <w:bottom w:type="dxa" w:w="100"/>
              <w:right w:type="dxa" w:w="120"/>
            </w:tcMar>
          </w:tcPr>
          <w:p>
            <w:r>
              <w:rPr>
                <w:rFonts w:ascii="Arial" w:cs="Arial" w:eastAsia="Arial" w:hAnsi="Arial"/>
                <w:b/>
                <w:bCs/>
                <w:color w:val="FFFFFF"/>
                <w:sz w:val="20"/>
                <w:szCs w:val="20"/>
              </w:rPr>
              <w:t xml:space="preserve">Justification</w:t>
            </w:r>
          </w:p>
        </w:tc>
      </w:tr>
      <w:tr>
        <w:tc>
          <w:tcPr>
            <w:tcW w:type="dxa" w:w="20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4B1248"/>
                <w:sz w:val="19"/>
                <w:szCs w:val="19"/>
              </w:rPr>
              <w:t xml:space="preserve">Prometheus</w:t>
            </w:r>
          </w:p>
        </w:tc>
        <w:tc>
          <w:tcPr>
            <w:tcW w:type="dxa" w:w="348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Collects and stores time-series metrics — request counts, response times, error rates, CPU, and memory — every 15 seconds.</w:t>
            </w:r>
          </w:p>
        </w:tc>
        <w:tc>
          <w:tcPr>
            <w:tcW w:type="dxa" w:w="388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Open-source, self-hosted, zero licensing cost. Industry standard for server and application monitoring. Integrates natively with Grafana.</w:t>
            </w:r>
          </w:p>
        </w:tc>
      </w:tr>
      <w:tr>
        <w:tc>
          <w:tcPr>
            <w:tcW w:type="dxa" w:w="20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4B1248"/>
                <w:sz w:val="19"/>
                <w:szCs w:val="19"/>
              </w:rPr>
              <w:t xml:space="preserve">Grafana</w:t>
            </w:r>
          </w:p>
        </w:tc>
        <w:tc>
          <w:tcPr>
            <w:tcW w:type="dxa" w:w="348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Visualises Prometheus data as dashboards and graphs accessible to the whole team.</w:t>
            </w:r>
          </w:p>
        </w:tc>
        <w:tc>
          <w:tcPr>
            <w:tcW w:type="dxa" w:w="388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Open-source. Connects to Prometheus out of the box. Large library of pre-built dashboards. Accessible to non-technical viewers.</w:t>
            </w:r>
          </w:p>
        </w:tc>
      </w:tr>
      <w:tr>
        <w:tc>
          <w:tcPr>
            <w:tcW w:type="dxa" w:w="20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4B1248"/>
                <w:sz w:val="19"/>
                <w:szCs w:val="19"/>
              </w:rPr>
              <w:t xml:space="preserve">Node Exporter</w:t>
            </w:r>
          </w:p>
        </w:tc>
        <w:tc>
          <w:tcPr>
            <w:tcW w:type="dxa" w:w="348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Runs on the server and exposes system-level metrics — CPU, disk, memory, network — for Prometheus to collect.</w:t>
            </w:r>
          </w:p>
        </w:tc>
        <w:tc>
          <w:tcPr>
            <w:tcW w:type="dxa" w:w="388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Standard Prometheus exporter for Linux. Minimal resource footprint. No application code changes required.</w:t>
            </w:r>
          </w:p>
        </w:tc>
      </w:tr>
      <w:tr>
        <w:tc>
          <w:tcPr>
            <w:tcW w:type="dxa" w:w="20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4B1248"/>
                <w:sz w:val="19"/>
                <w:szCs w:val="19"/>
              </w:rPr>
              <w:t xml:space="preserve">Laravel Prometheus (Spatie)</w:t>
            </w:r>
          </w:p>
        </w:tc>
        <w:tc>
          <w:tcPr>
            <w:tcW w:type="dxa" w:w="348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Exposes application-level metrics from the Laravel backend — request counts per route, response times, error rates.</w:t>
            </w:r>
          </w:p>
        </w:tc>
        <w:tc>
          <w:tcPr>
            <w:tcW w:type="dxa" w:w="388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Official, well-maintained package. Integrates with the existing codebase with minimal configuration.</w:t>
            </w:r>
          </w:p>
        </w:tc>
      </w:tr>
    </w:tbl>
    <w:p>
      <w:pPr>
        <w:pStyle w:val="Heading2"/>
      </w:pPr>
      <w:r>
        <w:t xml:space="preserve">5.4  Metrics Tracked from Day One</w:t>
      </w:r>
    </w:p>
    <w:p>
      <w:pPr>
        <w:pStyle w:val="ListParagraph"/>
        <w:numPr>
          <w:ilvl w:val="0"/>
          <w:numId w:val="2"/>
        </w:numPr>
        <w:spacing w:after="40" w:before="40"/>
      </w:pPr>
      <w:r>
        <w:rPr>
          <w:rFonts w:ascii="Arial" w:cs="Arial" w:eastAsia="Arial" w:hAnsi="Arial"/>
          <w:color w:val="1A0A18"/>
          <w:sz w:val="22"/>
          <w:szCs w:val="22"/>
        </w:rPr>
        <w:t xml:space="preserve">API response time — average and 95th percentile across all routes</w:t>
      </w:r>
    </w:p>
    <w:p>
      <w:pPr>
        <w:pStyle w:val="ListParagraph"/>
        <w:numPr>
          <w:ilvl w:val="0"/>
          <w:numId w:val="2"/>
        </w:numPr>
        <w:spacing w:after="40" w:before="40"/>
      </w:pPr>
      <w:r>
        <w:rPr>
          <w:rFonts w:ascii="Arial" w:cs="Arial" w:eastAsia="Arial" w:hAnsi="Arial"/>
          <w:color w:val="1A0A18"/>
          <w:sz w:val="22"/>
          <w:szCs w:val="22"/>
        </w:rPr>
        <w:t xml:space="preserve">HTTP error rate — percentage of 4xx and 5xx responses</w:t>
      </w:r>
    </w:p>
    <w:p>
      <w:pPr>
        <w:pStyle w:val="ListParagraph"/>
        <w:numPr>
          <w:ilvl w:val="0"/>
          <w:numId w:val="2"/>
        </w:numPr>
        <w:spacing w:after="40" w:before="40"/>
      </w:pPr>
      <w:r>
        <w:rPr>
          <w:rFonts w:ascii="Arial" w:cs="Arial" w:eastAsia="Arial" w:hAnsi="Arial"/>
          <w:color w:val="1A0A18"/>
          <w:sz w:val="22"/>
          <w:szCs w:val="22"/>
        </w:rPr>
        <w:t xml:space="preserve">Server CPU — alert if sustained above 80%</w:t>
      </w:r>
    </w:p>
    <w:p>
      <w:pPr>
        <w:pStyle w:val="ListParagraph"/>
        <w:numPr>
          <w:ilvl w:val="0"/>
          <w:numId w:val="2"/>
        </w:numPr>
        <w:spacing w:after="40" w:before="40"/>
      </w:pPr>
      <w:r>
        <w:rPr>
          <w:rFonts w:ascii="Arial" w:cs="Arial" w:eastAsia="Arial" w:hAnsi="Arial"/>
          <w:color w:val="1A0A18"/>
          <w:sz w:val="22"/>
          <w:szCs w:val="22"/>
        </w:rPr>
        <w:t xml:space="preserve">Server memory — alert if sustained above 85%</w:t>
      </w:r>
    </w:p>
    <w:p>
      <w:pPr>
        <w:pStyle w:val="ListParagraph"/>
        <w:numPr>
          <w:ilvl w:val="0"/>
          <w:numId w:val="2"/>
        </w:numPr>
        <w:spacing w:after="40" w:before="40"/>
      </w:pPr>
      <w:r>
        <w:rPr>
          <w:rFonts w:ascii="Arial" w:cs="Arial" w:eastAsia="Arial" w:hAnsi="Arial"/>
          <w:color w:val="1A0A18"/>
          <w:sz w:val="22"/>
          <w:szCs w:val="22"/>
        </w:rPr>
        <w:t xml:space="preserve">Disk usage — alert at 75% capacity</w:t>
      </w:r>
    </w:p>
    <w:p>
      <w:pPr>
        <w:pStyle w:val="ListParagraph"/>
        <w:numPr>
          <w:ilvl w:val="0"/>
          <w:numId w:val="2"/>
        </w:numPr>
        <w:spacing w:after="40" w:before="40"/>
      </w:pPr>
      <w:r>
        <w:rPr>
          <w:rFonts w:ascii="Arial" w:cs="Arial" w:eastAsia="Arial" w:hAnsi="Arial"/>
          <w:color w:val="1A0A18"/>
          <w:sz w:val="22"/>
          <w:szCs w:val="22"/>
        </w:rPr>
        <w:t xml:space="preserve">Lead submission count — daily intake form completions</w:t>
      </w:r>
    </w:p>
    <w:p>
      <w:pPr>
        <w:pStyle w:val="ListParagraph"/>
        <w:numPr>
          <w:ilvl w:val="0"/>
          <w:numId w:val="2"/>
        </w:numPr>
        <w:spacing w:after="40" w:before="40"/>
      </w:pPr>
      <w:r>
        <w:rPr>
          <w:rFonts w:ascii="Arial" w:cs="Arial" w:eastAsia="Arial" w:hAnsi="Arial"/>
          <w:color w:val="1A0A18"/>
          <w:sz w:val="22"/>
          <w:szCs w:val="22"/>
        </w:rPr>
        <w:t xml:space="preserve">Uptime — alert within 60 seconds of the site becoming unreachable</w:t>
      </w:r>
    </w:p>
    <w:p>
      <w:r>
        <w:br w:type="page"/>
      </w:r>
    </w:p>
    <w:p>
      <w:pPr>
        <w:pStyle w:val="Heading1"/>
      </w:pPr>
      <w:r>
        <w:t xml:space="preserve">6.  Internal CRM Dashboard</w:t>
      </w:r>
    </w:p>
    <w:p>
      <w:pPr>
        <w:pBdr>
          <w:bottom w:val="single" w:color="D4B8D0" w:sz="4" w:space="1"/>
        </w:pBdr>
        <w:spacing w:after="180" w:before="0"/>
      </w:pPr>
    </w:p>
    <w:p>
      <w:pPr>
        <w:pStyle w:val="Heading2"/>
      </w:pPr>
      <w:r>
        <w:t xml:space="preserve">6.1  The Problem</w:t>
      </w:r>
    </w:p>
    <w:p>
      <w:pPr>
        <w:spacing w:after="140" w:before="80"/>
      </w:pPr>
      <w:r>
        <w:rPr>
          <w:rFonts w:ascii="Arial" w:cs="Arial" w:eastAsia="Arial" w:hAnsi="Arial"/>
          <w:b w:val="false"/>
          <w:bCs w:val="false"/>
          <w:i w:val="false"/>
          <w:iCs w:val="false"/>
          <w:color w:val="1A0A18"/>
          <w:sz w:val="22"/>
          <w:szCs w:val="22"/>
        </w:rPr>
        <w:t xml:space="preserve">Every time a couple completes the intake form on shaadi.me, their details are stored in the database. Currently there is no interface for the planning or sales team to view, filter, or act on these leads. The data exists but is inaccessible without direct database access, which is not appropriate for non-technical team members and creates a significant operational gap.</w:t>
      </w:r>
    </w:p>
    <w:p>
      <w:pPr>
        <w:pStyle w:val="Heading2"/>
      </w:pPr>
      <w:r>
        <w:t xml:space="preserve">6.2  What the CRM Does</w:t>
      </w:r>
    </w:p>
    <w:p>
      <w:pPr>
        <w:spacing w:after="140" w:before="80"/>
      </w:pPr>
      <w:r>
        <w:rPr>
          <w:rFonts w:ascii="Arial" w:cs="Arial" w:eastAsia="Arial" w:hAnsi="Arial"/>
          <w:b w:val="false"/>
          <w:bCs w:val="false"/>
          <w:i w:val="false"/>
          <w:iCs w:val="false"/>
          <w:color w:val="1A0A18"/>
          <w:sz w:val="22"/>
          <w:szCs w:val="22"/>
        </w:rPr>
        <w:t xml:space="preserve">The CRM dashboard at crm.shaadi.me gives the internal team a clean, login-protected interface to see all incoming leads, update their status, and add follow-up notes — without any technical knowledge required. It connects directly to the existing database with no third-party sync needed.</w:t>
      </w:r>
    </w:p>
    <w:p>
      <w:pPr>
        <w:pStyle w:val="Heading2"/>
      </w:pPr>
      <w:r>
        <w:t xml:space="preserve">6.3  Tools Required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6B1A67" w:sz="1"/>
              <w:left w:val="single" w:color="6B1A67" w:sz="1"/>
              <w:bottom w:val="single" w:color="6B1A67" w:sz="1"/>
              <w:right w:val="single" w:color="6B1A67" w:sz="1"/>
            </w:tcBorders>
            <w:shd w:fill="4B1248" w:val="clear"/>
            <w:tcMar>
              <w:top w:type="dxa" w:w="100"/>
              <w:left w:type="dxa" w:w="120"/>
              <w:bottom w:type="dxa" w:w="100"/>
              <w:right w:type="dxa" w:w="120"/>
            </w:tcMar>
          </w:tcPr>
          <w:p>
            <w:r>
              <w:rPr>
                <w:rFonts w:ascii="Arial" w:cs="Arial" w:eastAsia="Arial" w:hAnsi="Arial"/>
                <w:b/>
                <w:bCs/>
                <w:color w:val="FFFFFF"/>
                <w:sz w:val="20"/>
                <w:szCs w:val="20"/>
              </w:rPr>
              <w:t xml:space="preserve">Service / Tool</w:t>
            </w:r>
          </w:p>
        </w:tc>
        <w:tc>
          <w:tcPr>
            <w:tcW w:type="dxa" w:w="3480"/>
            <w:tcBorders>
              <w:top w:val="single" w:color="6B1A67" w:sz="1"/>
              <w:left w:val="single" w:color="6B1A67" w:sz="1"/>
              <w:bottom w:val="single" w:color="6B1A67" w:sz="1"/>
              <w:right w:val="single" w:color="6B1A67" w:sz="1"/>
            </w:tcBorders>
            <w:shd w:fill="4B1248"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3880"/>
            <w:tcBorders>
              <w:top w:val="single" w:color="6B1A67" w:sz="1"/>
              <w:left w:val="single" w:color="6B1A67" w:sz="1"/>
              <w:bottom w:val="single" w:color="6B1A67" w:sz="1"/>
              <w:right w:val="single" w:color="6B1A67" w:sz="1"/>
            </w:tcBorders>
            <w:shd w:fill="4B1248" w:val="clear"/>
            <w:tcMar>
              <w:top w:type="dxa" w:w="100"/>
              <w:left w:type="dxa" w:w="120"/>
              <w:bottom w:type="dxa" w:w="100"/>
              <w:right w:type="dxa" w:w="120"/>
            </w:tcMar>
          </w:tcPr>
          <w:p>
            <w:r>
              <w:rPr>
                <w:rFonts w:ascii="Arial" w:cs="Arial" w:eastAsia="Arial" w:hAnsi="Arial"/>
                <w:b/>
                <w:bCs/>
                <w:color w:val="FFFFFF"/>
                <w:sz w:val="20"/>
                <w:szCs w:val="20"/>
              </w:rPr>
              <w:t xml:space="preserve">Justification</w:t>
            </w:r>
          </w:p>
        </w:tc>
      </w:tr>
      <w:tr>
        <w:tc>
          <w:tcPr>
            <w:tcW w:type="dxa" w:w="20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4B1248"/>
                <w:sz w:val="19"/>
                <w:szCs w:val="19"/>
              </w:rPr>
              <w:t xml:space="preserve">Filament (Laravel)</w:t>
            </w:r>
          </w:p>
        </w:tc>
        <w:tc>
          <w:tcPr>
            <w:tcW w:type="dxa" w:w="348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Admin panel framework built on Laravel. Provides the full CRM interface — lead tables, filters, edit forms, and authentication — with minimal custom code.</w:t>
            </w:r>
          </w:p>
        </w:tc>
        <w:tc>
          <w:tcPr>
            <w:tcW w:type="dxa" w:w="388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Built specifically for Laravel. Open-source. Ships with authentication, search, and filters out of the box. Reduces build time from weeks to days.</w:t>
            </w:r>
          </w:p>
        </w:tc>
      </w:tr>
      <w:tr>
        <w:tc>
          <w:tcPr>
            <w:tcW w:type="dxa" w:w="20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4B1248"/>
                <w:sz w:val="19"/>
                <w:szCs w:val="19"/>
              </w:rPr>
              <w:t xml:space="preserve">Nginx subdomain block</w:t>
            </w:r>
          </w:p>
        </w:tc>
        <w:tc>
          <w:tcPr>
            <w:tcW w:type="dxa" w:w="348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Routes traffic from crm.shaadi.me to the CRM application on the same server.</w:t>
            </w:r>
          </w:p>
        </w:tc>
        <w:tc>
          <w:tcPr>
            <w:tcW w:type="dxa" w:w="388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Reuses existing infrastructure. No additional server or hosting cost.</w:t>
            </w:r>
          </w:p>
        </w:tc>
      </w:tr>
      <w:tr>
        <w:tc>
          <w:tcPr>
            <w:tcW w:type="dxa" w:w="20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4B1248"/>
                <w:sz w:val="19"/>
                <w:szCs w:val="19"/>
              </w:rPr>
              <w:t xml:space="preserve">Let's Encrypt SSL</w:t>
            </w:r>
          </w:p>
        </w:tc>
        <w:tc>
          <w:tcPr>
            <w:tcW w:type="dxa" w:w="348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Issues a free HTTPS certificate for the crm.shaadi.me subdomain.</w:t>
            </w:r>
          </w:p>
        </w:tc>
        <w:tc>
          <w:tcPr>
            <w:tcW w:type="dxa" w:w="388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Free, auto-renewing, trusted by all browsers. Industry standard for securing web properties.</w:t>
            </w:r>
          </w:p>
        </w:tc>
      </w:tr>
    </w:tbl>
    <w:p>
      <w:pPr>
        <w:pStyle w:val="Heading2"/>
      </w:pPr>
      <w:r>
        <w:t xml:space="preserve">6.4  Features to Be Delivered</w:t>
      </w:r>
    </w:p>
    <w:p>
      <w:pPr>
        <w:pStyle w:val="ListParagraph"/>
        <w:numPr>
          <w:ilvl w:val="0"/>
          <w:numId w:val="2"/>
        </w:numPr>
        <w:spacing w:after="40" w:before="40"/>
      </w:pPr>
      <w:r>
        <w:rPr>
          <w:rFonts w:ascii="Arial" w:cs="Arial" w:eastAsia="Arial" w:hAnsi="Arial"/>
          <w:color w:val="1A0A18"/>
          <w:sz w:val="22"/>
          <w:szCs w:val="22"/>
        </w:rPr>
        <w:t xml:space="preserve">Secure login — only authorised team members can access the dashboard</w:t>
      </w:r>
    </w:p>
    <w:p>
      <w:pPr>
        <w:pStyle w:val="ListParagraph"/>
        <w:numPr>
          <w:ilvl w:val="0"/>
          <w:numId w:val="2"/>
        </w:numPr>
        <w:spacing w:after="40" w:before="40"/>
      </w:pPr>
      <w:r>
        <w:rPr>
          <w:rFonts w:ascii="Arial" w:cs="Arial" w:eastAsia="Arial" w:hAnsi="Arial"/>
          <w:color w:val="1A0A18"/>
          <w:sz w:val="22"/>
          <w:szCs w:val="22"/>
        </w:rPr>
        <w:t xml:space="preserve">Leads table — all submissions with name, phone, city, wedding date, budget, and submission time</w:t>
      </w:r>
    </w:p>
    <w:p>
      <w:pPr>
        <w:pStyle w:val="ListParagraph"/>
        <w:numPr>
          <w:ilvl w:val="0"/>
          <w:numId w:val="2"/>
        </w:numPr>
        <w:spacing w:after="40" w:before="40"/>
      </w:pPr>
      <w:r>
        <w:rPr>
          <w:rFonts w:ascii="Arial" w:cs="Arial" w:eastAsia="Arial" w:hAnsi="Arial"/>
          <w:color w:val="1A0A18"/>
          <w:sz w:val="22"/>
          <w:szCs w:val="22"/>
        </w:rPr>
        <w:t xml:space="preserve">Search and filter — by city, wedding tradition, status, or date range</w:t>
      </w:r>
    </w:p>
    <w:p>
      <w:pPr>
        <w:pStyle w:val="ListParagraph"/>
        <w:numPr>
          <w:ilvl w:val="0"/>
          <w:numId w:val="2"/>
        </w:numPr>
        <w:spacing w:after="40" w:before="40"/>
      </w:pPr>
      <w:r>
        <w:rPr>
          <w:rFonts w:ascii="Arial" w:cs="Arial" w:eastAsia="Arial" w:hAnsi="Arial"/>
          <w:color w:val="1A0A18"/>
          <w:sz w:val="22"/>
          <w:szCs w:val="22"/>
        </w:rPr>
        <w:t xml:space="preserve">Lead detail view — full submitted information for any lead</w:t>
      </w:r>
    </w:p>
    <w:p>
      <w:pPr>
        <w:pStyle w:val="ListParagraph"/>
        <w:numPr>
          <w:ilvl w:val="0"/>
          <w:numId w:val="2"/>
        </w:numPr>
        <w:spacing w:after="40" w:before="40"/>
      </w:pPr>
      <w:r>
        <w:rPr>
          <w:rFonts w:ascii="Arial" w:cs="Arial" w:eastAsia="Arial" w:hAnsi="Arial"/>
          <w:color w:val="1A0A18"/>
          <w:sz w:val="22"/>
          <w:szCs w:val="22"/>
        </w:rPr>
        <w:t xml:space="preserve">Status management — New, Contacted, Meeting Scheduled, Converted, Not Interested</w:t>
      </w:r>
    </w:p>
    <w:p>
      <w:pPr>
        <w:pStyle w:val="ListParagraph"/>
        <w:numPr>
          <w:ilvl w:val="0"/>
          <w:numId w:val="2"/>
        </w:numPr>
        <w:spacing w:after="40" w:before="40"/>
      </w:pPr>
      <w:r>
        <w:rPr>
          <w:rFonts w:ascii="Arial" w:cs="Arial" w:eastAsia="Arial" w:hAnsi="Arial"/>
          <w:color w:val="1A0A18"/>
          <w:sz w:val="22"/>
          <w:szCs w:val="22"/>
        </w:rPr>
        <w:t xml:space="preserve">Notes — internal notes per lead for follow-up tracking</w:t>
      </w:r>
    </w:p>
    <w:p>
      <w:pPr>
        <w:pStyle w:val="ListParagraph"/>
        <w:numPr>
          <w:ilvl w:val="0"/>
          <w:numId w:val="2"/>
        </w:numPr>
        <w:spacing w:after="40" w:before="40"/>
      </w:pPr>
      <w:r>
        <w:rPr>
          <w:rFonts w:ascii="Arial" w:cs="Arial" w:eastAsia="Arial" w:hAnsi="Arial"/>
          <w:color w:val="1A0A18"/>
          <w:sz w:val="22"/>
          <w:szCs w:val="22"/>
        </w:rPr>
        <w:t xml:space="preserve">Mobile-responsive — usable by planners on the move</w:t>
      </w:r>
    </w:p>
    <w:p>
      <w:r>
        <w:br w:type="page"/>
      </w:r>
    </w:p>
    <w:p>
      <w:pPr>
        <w:pStyle w:val="Heading1"/>
      </w:pPr>
      <w:r>
        <w:t xml:space="preserve">7.  Hosting and Infrastructure</w:t>
      </w:r>
    </w:p>
    <w:p>
      <w:pPr>
        <w:pBdr>
          <w:bottom w:val="single" w:color="D4B8D0" w:sz="4" w:space="1"/>
        </w:pBdr>
        <w:spacing w:after="180" w:before="0"/>
      </w:pPr>
    </w:p>
    <w:p>
      <w:pPr>
        <w:spacing w:after="140" w:before="80"/>
      </w:pPr>
      <w:r>
        <w:rPr>
          <w:rFonts w:ascii="Arial" w:cs="Arial" w:eastAsia="Arial" w:hAnsi="Arial"/>
          <w:b w:val="false"/>
          <w:bCs w:val="false"/>
          <w:i w:val="false"/>
          <w:iCs w:val="false"/>
          <w:color w:val="1A0A18"/>
          <w:sz w:val="22"/>
          <w:szCs w:val="22"/>
        </w:rPr>
        <w:t xml:space="preserve">All services will run on a single VPS (Virtual Private Server) running Ubuntu 24.04. This keeps infrastructure simple, auditable, and cost-effective at the current scale. The VPS can be resized without architectural changes as traffic grows.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B8D0" w:sz="1"/>
              <w:left w:val="single" w:color="D4B8D0" w:sz="1"/>
              <w:bottom w:val="single" w:color="D4B8D0" w:sz="1"/>
              <w:right w:val="single" w:color="D4B8D0" w:sz="1"/>
            </w:tcBorders>
            <w:shd w:fill="FAF4F6" w:val="clear"/>
            <w:tcMar>
              <w:top w:type="dxa" w:w="90"/>
              <w:left w:type="dxa" w:w="140"/>
              <w:bottom w:type="dxa" w:w="90"/>
              <w:right w:type="dxa" w:w="140"/>
            </w:tcMar>
          </w:tcPr>
          <w:p>
            <w:r>
              <w:rPr>
                <w:rFonts w:ascii="Arial" w:cs="Arial" w:eastAsia="Arial" w:hAnsi="Arial"/>
                <w:b/>
                <w:bCs/>
                <w:color w:val="4B1248"/>
                <w:sz w:val="20"/>
                <w:szCs w:val="20"/>
              </w:rPr>
              <w:t xml:space="preserve">Provider</w:t>
            </w:r>
          </w:p>
        </w:tc>
        <w:tc>
          <w:tcPr>
            <w:tcW w:type="dxa" w:w="6960"/>
            <w:tcBorders>
              <w:top w:val="single" w:color="D4B8D0" w:sz="1"/>
              <w:left w:val="single" w:color="D4B8D0" w:sz="1"/>
              <w:bottom w:val="single" w:color="D4B8D0" w:sz="1"/>
              <w:right w:val="single" w:color="D4B8D0" w:sz="1"/>
            </w:tcBorders>
            <w:shd w:fill="FFFFFF" w:val="clear"/>
            <w:tcMar>
              <w:top w:type="dxa" w:w="90"/>
              <w:left w:type="dxa" w:w="140"/>
              <w:bottom w:type="dxa" w:w="90"/>
              <w:right w:type="dxa" w:w="140"/>
            </w:tcMar>
          </w:tcPr>
          <w:p>
            <w:r>
              <w:rPr>
                <w:rFonts w:ascii="Arial" w:cs="Arial" w:eastAsia="Arial" w:hAnsi="Arial"/>
                <w:color w:val="1A0A18"/>
                <w:sz w:val="20"/>
                <w:szCs w:val="20"/>
              </w:rPr>
              <w:t xml:space="preserve">Hetzner or DigitalOcean</w:t>
            </w:r>
          </w:p>
        </w:tc>
      </w:tr>
      <w:tr>
        <w:tc>
          <w:tcPr>
            <w:tcW w:type="dxa" w:w="2400"/>
            <w:tcBorders>
              <w:top w:val="single" w:color="D4B8D0" w:sz="1"/>
              <w:left w:val="single" w:color="D4B8D0" w:sz="1"/>
              <w:bottom w:val="single" w:color="D4B8D0" w:sz="1"/>
              <w:right w:val="single" w:color="D4B8D0" w:sz="1"/>
            </w:tcBorders>
            <w:shd w:fill="F0E6F0" w:val="clear"/>
            <w:tcMar>
              <w:top w:type="dxa" w:w="90"/>
              <w:left w:type="dxa" w:w="140"/>
              <w:bottom w:type="dxa" w:w="90"/>
              <w:right w:type="dxa" w:w="140"/>
            </w:tcMar>
          </w:tcPr>
          <w:p>
            <w:r>
              <w:rPr>
                <w:rFonts w:ascii="Arial" w:cs="Arial" w:eastAsia="Arial" w:hAnsi="Arial"/>
                <w:b/>
                <w:bCs/>
                <w:color w:val="4B1248"/>
                <w:sz w:val="20"/>
                <w:szCs w:val="20"/>
              </w:rPr>
              <w:t xml:space="preserve">Specification</w:t>
            </w:r>
          </w:p>
        </w:tc>
        <w:tc>
          <w:tcPr>
            <w:tcW w:type="dxa" w:w="6960"/>
            <w:tcBorders>
              <w:top w:val="single" w:color="D4B8D0" w:sz="1"/>
              <w:left w:val="single" w:color="D4B8D0" w:sz="1"/>
              <w:bottom w:val="single" w:color="D4B8D0" w:sz="1"/>
              <w:right w:val="single" w:color="D4B8D0" w:sz="1"/>
            </w:tcBorders>
            <w:shd w:fill="FAF0F8" w:val="clear"/>
            <w:tcMar>
              <w:top w:type="dxa" w:w="90"/>
              <w:left w:type="dxa" w:w="140"/>
              <w:bottom w:type="dxa" w:w="90"/>
              <w:right w:type="dxa" w:w="140"/>
            </w:tcMar>
          </w:tcPr>
          <w:p>
            <w:r>
              <w:rPr>
                <w:rFonts w:ascii="Arial" w:cs="Arial" w:eastAsia="Arial" w:hAnsi="Arial"/>
                <w:color w:val="1A0A18"/>
                <w:sz w:val="20"/>
                <w:szCs w:val="20"/>
              </w:rPr>
              <w:t xml:space="preserve">4 vCPU / 8 GB RAM / 160 GB SSD</w:t>
            </w:r>
          </w:p>
        </w:tc>
      </w:tr>
      <w:tr>
        <w:tc>
          <w:tcPr>
            <w:tcW w:type="dxa" w:w="2400"/>
            <w:tcBorders>
              <w:top w:val="single" w:color="D4B8D0" w:sz="1"/>
              <w:left w:val="single" w:color="D4B8D0" w:sz="1"/>
              <w:bottom w:val="single" w:color="D4B8D0" w:sz="1"/>
              <w:right w:val="single" w:color="D4B8D0" w:sz="1"/>
            </w:tcBorders>
            <w:shd w:fill="FAF4F6" w:val="clear"/>
            <w:tcMar>
              <w:top w:type="dxa" w:w="90"/>
              <w:left w:type="dxa" w:w="140"/>
              <w:bottom w:type="dxa" w:w="90"/>
              <w:right w:type="dxa" w:w="140"/>
            </w:tcMar>
          </w:tcPr>
          <w:p>
            <w:r>
              <w:rPr>
                <w:rFonts w:ascii="Arial" w:cs="Arial" w:eastAsia="Arial" w:hAnsi="Arial"/>
                <w:b/>
                <w:bCs/>
                <w:color w:val="4B1248"/>
                <w:sz w:val="20"/>
                <w:szCs w:val="20"/>
              </w:rPr>
              <w:t xml:space="preserve">Operating System</w:t>
            </w:r>
          </w:p>
        </w:tc>
        <w:tc>
          <w:tcPr>
            <w:tcW w:type="dxa" w:w="6960"/>
            <w:tcBorders>
              <w:top w:val="single" w:color="D4B8D0" w:sz="1"/>
              <w:left w:val="single" w:color="D4B8D0" w:sz="1"/>
              <w:bottom w:val="single" w:color="D4B8D0" w:sz="1"/>
              <w:right w:val="single" w:color="D4B8D0" w:sz="1"/>
            </w:tcBorders>
            <w:shd w:fill="FFFFFF" w:val="clear"/>
            <w:tcMar>
              <w:top w:type="dxa" w:w="90"/>
              <w:left w:type="dxa" w:w="140"/>
              <w:bottom w:type="dxa" w:w="90"/>
              <w:right w:type="dxa" w:w="140"/>
            </w:tcMar>
          </w:tcPr>
          <w:p>
            <w:r>
              <w:rPr>
                <w:rFonts w:ascii="Arial" w:cs="Arial" w:eastAsia="Arial" w:hAnsi="Arial"/>
                <w:color w:val="1A0A18"/>
                <w:sz w:val="20"/>
                <w:szCs w:val="20"/>
              </w:rPr>
              <w:t xml:space="preserve">Ubuntu 24.04 LTS</w:t>
            </w:r>
          </w:p>
        </w:tc>
      </w:tr>
      <w:tr>
        <w:tc>
          <w:tcPr>
            <w:tcW w:type="dxa" w:w="2400"/>
            <w:tcBorders>
              <w:top w:val="single" w:color="D4B8D0" w:sz="1"/>
              <w:left w:val="single" w:color="D4B8D0" w:sz="1"/>
              <w:bottom w:val="single" w:color="D4B8D0" w:sz="1"/>
              <w:right w:val="single" w:color="D4B8D0" w:sz="1"/>
            </w:tcBorders>
            <w:shd w:fill="F0E6F0" w:val="clear"/>
            <w:tcMar>
              <w:top w:type="dxa" w:w="90"/>
              <w:left w:type="dxa" w:w="140"/>
              <w:bottom w:type="dxa" w:w="90"/>
              <w:right w:type="dxa" w:w="140"/>
            </w:tcMar>
          </w:tcPr>
          <w:p>
            <w:r>
              <w:rPr>
                <w:rFonts w:ascii="Arial" w:cs="Arial" w:eastAsia="Arial" w:hAnsi="Arial"/>
                <w:b/>
                <w:bCs/>
                <w:color w:val="4B1248"/>
                <w:sz w:val="20"/>
                <w:szCs w:val="20"/>
              </w:rPr>
              <w:t xml:space="preserve">Region</w:t>
            </w:r>
          </w:p>
        </w:tc>
        <w:tc>
          <w:tcPr>
            <w:tcW w:type="dxa" w:w="6960"/>
            <w:tcBorders>
              <w:top w:val="single" w:color="D4B8D0" w:sz="1"/>
              <w:left w:val="single" w:color="D4B8D0" w:sz="1"/>
              <w:bottom w:val="single" w:color="D4B8D0" w:sz="1"/>
              <w:right w:val="single" w:color="D4B8D0" w:sz="1"/>
            </w:tcBorders>
            <w:shd w:fill="FAF0F8" w:val="clear"/>
            <w:tcMar>
              <w:top w:type="dxa" w:w="90"/>
              <w:left w:type="dxa" w:w="140"/>
              <w:bottom w:type="dxa" w:w="90"/>
              <w:right w:type="dxa" w:w="140"/>
            </w:tcMar>
          </w:tcPr>
          <w:p>
            <w:r>
              <w:rPr>
                <w:rFonts w:ascii="Arial" w:cs="Arial" w:eastAsia="Arial" w:hAnsi="Arial"/>
                <w:color w:val="1A0A18"/>
                <w:sz w:val="20"/>
                <w:szCs w:val="20"/>
              </w:rPr>
              <w:t xml:space="preserve">Bangalore — closest to Hyderabad, Bengaluru, and Chennai launch cities</w:t>
            </w:r>
          </w:p>
        </w:tc>
      </w:tr>
      <w:tr>
        <w:tc>
          <w:tcPr>
            <w:tcW w:type="dxa" w:w="2400"/>
            <w:tcBorders>
              <w:top w:val="single" w:color="D4B8D0" w:sz="1"/>
              <w:left w:val="single" w:color="D4B8D0" w:sz="1"/>
              <w:bottom w:val="single" w:color="D4B8D0" w:sz="1"/>
              <w:right w:val="single" w:color="D4B8D0" w:sz="1"/>
            </w:tcBorders>
            <w:shd w:fill="FAF4F6" w:val="clear"/>
            <w:tcMar>
              <w:top w:type="dxa" w:w="90"/>
              <w:left w:type="dxa" w:w="140"/>
              <w:bottom w:type="dxa" w:w="90"/>
              <w:right w:type="dxa" w:w="140"/>
            </w:tcMar>
          </w:tcPr>
          <w:p>
            <w:r>
              <w:rPr>
                <w:rFonts w:ascii="Arial" w:cs="Arial" w:eastAsia="Arial" w:hAnsi="Arial"/>
                <w:b/>
                <w:bCs/>
                <w:color w:val="4B1248"/>
                <w:sz w:val="20"/>
                <w:szCs w:val="20"/>
              </w:rPr>
              <w:t xml:space="preserve">Services on server</w:t>
            </w:r>
          </w:p>
        </w:tc>
        <w:tc>
          <w:tcPr>
            <w:tcW w:type="dxa" w:w="6960"/>
            <w:tcBorders>
              <w:top w:val="single" w:color="D4B8D0" w:sz="1"/>
              <w:left w:val="single" w:color="D4B8D0" w:sz="1"/>
              <w:bottom w:val="single" w:color="D4B8D0" w:sz="1"/>
              <w:right w:val="single" w:color="D4B8D0" w:sz="1"/>
            </w:tcBorders>
            <w:shd w:fill="FFFFFF" w:val="clear"/>
            <w:tcMar>
              <w:top w:type="dxa" w:w="90"/>
              <w:left w:type="dxa" w:w="140"/>
              <w:bottom w:type="dxa" w:w="90"/>
              <w:right w:type="dxa" w:w="140"/>
            </w:tcMar>
          </w:tcPr>
          <w:p>
            <w:r>
              <w:rPr>
                <w:rFonts w:ascii="Arial" w:cs="Arial" w:eastAsia="Arial" w:hAnsi="Arial"/>
                <w:color w:val="1A0A18"/>
                <w:sz w:val="20"/>
                <w:szCs w:val="20"/>
              </w:rPr>
              <w:t xml:space="preserve">Nginx, PHP 8.3, MySQL, Jenkins, Prometheus, Grafana, Node Exporter</w:t>
            </w:r>
          </w:p>
        </w:tc>
      </w:tr>
      <w:tr>
        <w:tc>
          <w:tcPr>
            <w:tcW w:type="dxa" w:w="2400"/>
            <w:tcBorders>
              <w:top w:val="single" w:color="D4B8D0" w:sz="1"/>
              <w:left w:val="single" w:color="D4B8D0" w:sz="1"/>
              <w:bottom w:val="single" w:color="D4B8D0" w:sz="1"/>
              <w:right w:val="single" w:color="D4B8D0" w:sz="1"/>
            </w:tcBorders>
            <w:shd w:fill="F0E6F0" w:val="clear"/>
            <w:tcMar>
              <w:top w:type="dxa" w:w="90"/>
              <w:left w:type="dxa" w:w="140"/>
              <w:bottom w:type="dxa" w:w="90"/>
              <w:right w:type="dxa" w:w="140"/>
            </w:tcMar>
          </w:tcPr>
          <w:p>
            <w:r>
              <w:rPr>
                <w:rFonts w:ascii="Arial" w:cs="Arial" w:eastAsia="Arial" w:hAnsi="Arial"/>
                <w:b/>
                <w:bCs/>
                <w:color w:val="4B1248"/>
                <w:sz w:val="20"/>
                <w:szCs w:val="20"/>
              </w:rPr>
              <w:t xml:space="preserve">Estimated cost</w:t>
            </w:r>
          </w:p>
        </w:tc>
        <w:tc>
          <w:tcPr>
            <w:tcW w:type="dxa" w:w="6960"/>
            <w:tcBorders>
              <w:top w:val="single" w:color="D4B8D0" w:sz="1"/>
              <w:left w:val="single" w:color="D4B8D0" w:sz="1"/>
              <w:bottom w:val="single" w:color="D4B8D0" w:sz="1"/>
              <w:right w:val="single" w:color="D4B8D0" w:sz="1"/>
            </w:tcBorders>
            <w:shd w:fill="FAF0F8" w:val="clear"/>
            <w:tcMar>
              <w:top w:type="dxa" w:w="90"/>
              <w:left w:type="dxa" w:w="140"/>
              <w:bottom w:type="dxa" w:w="90"/>
              <w:right w:type="dxa" w:w="140"/>
            </w:tcMar>
          </w:tcPr>
          <w:p>
            <w:r>
              <w:rPr>
                <w:rFonts w:ascii="Arial" w:cs="Arial" w:eastAsia="Arial" w:hAnsi="Arial"/>
                <w:color w:val="1A0A18"/>
                <w:sz w:val="20"/>
                <w:szCs w:val="20"/>
              </w:rPr>
              <w:t xml:space="preserve">INR 2,800 – 4,200 per month</w:t>
            </w:r>
          </w:p>
        </w:tc>
      </w:tr>
    </w:tbl>
    <w:p>
      <w:pPr>
        <w:spacing w:after="100" w:before="180"/>
      </w:pPr>
    </w:p>
    <w:p>
      <w:pPr>
        <w:spacing w:after="140" w:before="80"/>
      </w:pPr>
      <w:r>
        <w:rPr>
          <w:rFonts w:ascii="Arial" w:cs="Arial" w:eastAsia="Arial" w:hAnsi="Arial"/>
          <w:b w:val="false"/>
          <w:bCs w:val="false"/>
          <w:i w:val="false"/>
          <w:iCs w:val="false"/>
          <w:color w:val="1A0A18"/>
          <w:sz w:val="22"/>
          <w:szCs w:val="22"/>
        </w:rPr>
        <w:t xml:space="preserve">DNS configuration requires three records:</w:t>
      </w:r>
    </w:p>
    <w:p>
      <w:pPr>
        <w:pStyle w:val="ListParagraph"/>
        <w:numPr>
          <w:ilvl w:val="0"/>
          <w:numId w:val="2"/>
        </w:numPr>
        <w:spacing w:after="40" w:before="40"/>
      </w:pPr>
      <w:r>
        <w:rPr>
          <w:rFonts w:ascii="Arial" w:cs="Arial" w:eastAsia="Arial" w:hAnsi="Arial"/>
          <w:color w:val="1A0A18"/>
          <w:sz w:val="22"/>
          <w:szCs w:val="22"/>
        </w:rPr>
        <w:t xml:space="preserve">shaadi.me — A record pointing to the server IP</w:t>
      </w:r>
    </w:p>
    <w:p>
      <w:pPr>
        <w:pStyle w:val="ListParagraph"/>
        <w:numPr>
          <w:ilvl w:val="0"/>
          <w:numId w:val="2"/>
        </w:numPr>
        <w:spacing w:after="40" w:before="40"/>
      </w:pPr>
      <w:r>
        <w:rPr>
          <w:rFonts w:ascii="Arial" w:cs="Arial" w:eastAsia="Arial" w:hAnsi="Arial"/>
          <w:color w:val="1A0A18"/>
          <w:sz w:val="22"/>
          <w:szCs w:val="22"/>
        </w:rPr>
        <w:t xml:space="preserve">crm.shaadi.me — A record pointing to the same server IP</w:t>
      </w:r>
    </w:p>
    <w:p>
      <w:pPr>
        <w:pStyle w:val="ListParagraph"/>
        <w:numPr>
          <w:ilvl w:val="0"/>
          <w:numId w:val="2"/>
        </w:numPr>
        <w:spacing w:after="40" w:before="40"/>
      </w:pPr>
      <w:r>
        <w:rPr>
          <w:rFonts w:ascii="Arial" w:cs="Arial" w:eastAsia="Arial" w:hAnsi="Arial"/>
          <w:color w:val="1A0A18"/>
          <w:sz w:val="22"/>
          <w:szCs w:val="22"/>
        </w:rPr>
        <w:t xml:space="preserve">www.shaadi.me — CNAME pointing to shaadi.me</w:t>
      </w:r>
    </w:p>
    <w:p>
      <w:r>
        <w:br w:type="page"/>
      </w:r>
    </w:p>
    <w:p>
      <w:pPr>
        <w:pStyle w:val="Heading1"/>
      </w:pPr>
      <w:r>
        <w:t xml:space="preserve">8.  Estimated Monthly Cost Summary</w:t>
      </w:r>
    </w:p>
    <w:p>
      <w:pPr>
        <w:pBdr>
          <w:bottom w:val="single" w:color="D4B8D0" w:sz="4" w:space="1"/>
        </w:pBdr>
        <w:spacing w:after="180" w:before="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2060"/>
        <w:gridCol w:w="1900"/>
      </w:tblGrid>
      <w:tr>
        <w:trPr>
          <w:tblHeader/>
        </w:trPr>
        <w:tc>
          <w:tcPr>
            <w:tcW w:type="dxa" w:w="3500"/>
            <w:tcBorders>
              <w:top w:val="single" w:color="6B1A67" w:sz="1"/>
              <w:left w:val="single" w:color="6B1A67" w:sz="1"/>
              <w:bottom w:val="single" w:color="6B1A67" w:sz="1"/>
              <w:right w:val="single" w:color="6B1A67" w:sz="1"/>
            </w:tcBorders>
            <w:shd w:fill="4B1248" w:val="clear"/>
            <w:tcMar>
              <w:top w:type="dxa" w:w="100"/>
              <w:left w:type="dxa" w:w="120"/>
              <w:bottom w:type="dxa" w:w="100"/>
              <w:right w:type="dxa" w:w="120"/>
            </w:tcMar>
          </w:tcPr>
          <w:p>
            <w:r>
              <w:rPr>
                <w:rFonts w:ascii="Arial" w:cs="Arial" w:eastAsia="Arial" w:hAnsi="Arial"/>
                <w:b/>
                <w:bCs/>
                <w:color w:val="FFFFFF"/>
                <w:sz w:val="19"/>
                <w:szCs w:val="19"/>
              </w:rPr>
              <w:t xml:space="preserve">Item</w:t>
            </w:r>
          </w:p>
        </w:tc>
        <w:tc>
          <w:tcPr>
            <w:tcW w:type="dxa" w:w="1900"/>
            <w:tcBorders>
              <w:top w:val="single" w:color="6B1A67" w:sz="1"/>
              <w:left w:val="single" w:color="6B1A67" w:sz="1"/>
              <w:bottom w:val="single" w:color="6B1A67" w:sz="1"/>
              <w:right w:val="single" w:color="6B1A67" w:sz="1"/>
            </w:tcBorders>
            <w:shd w:fill="4B1248" w:val="clear"/>
            <w:tcMar>
              <w:top w:type="dxa" w:w="100"/>
              <w:left w:type="dxa" w:w="120"/>
              <w:bottom w:type="dxa" w:w="100"/>
              <w:right w:type="dxa" w:w="120"/>
            </w:tcMar>
          </w:tcPr>
          <w:p>
            <w:r>
              <w:rPr>
                <w:rFonts w:ascii="Arial" w:cs="Arial" w:eastAsia="Arial" w:hAnsi="Arial"/>
                <w:b/>
                <w:bCs/>
                <w:color w:val="FFFFFF"/>
                <w:sz w:val="19"/>
                <w:szCs w:val="19"/>
              </w:rPr>
              <w:t xml:space="preserve">Provider</w:t>
            </w:r>
          </w:p>
        </w:tc>
        <w:tc>
          <w:tcPr>
            <w:tcW w:type="dxa" w:w="2060"/>
            <w:tcBorders>
              <w:top w:val="single" w:color="6B1A67" w:sz="1"/>
              <w:left w:val="single" w:color="6B1A67" w:sz="1"/>
              <w:bottom w:val="single" w:color="6B1A67" w:sz="1"/>
              <w:right w:val="single" w:color="6B1A67" w:sz="1"/>
            </w:tcBorders>
            <w:shd w:fill="4B1248" w:val="clear"/>
            <w:tcMar>
              <w:top w:type="dxa" w:w="100"/>
              <w:left w:type="dxa" w:w="120"/>
              <w:bottom w:type="dxa" w:w="100"/>
              <w:right w:type="dxa" w:w="120"/>
            </w:tcMar>
          </w:tcPr>
          <w:p>
            <w:r>
              <w:rPr>
                <w:rFonts w:ascii="Arial" w:cs="Arial" w:eastAsia="Arial" w:hAnsi="Arial"/>
                <w:b/>
                <w:bCs/>
                <w:color w:val="FFFFFF"/>
                <w:sz w:val="19"/>
                <w:szCs w:val="19"/>
              </w:rPr>
              <w:t xml:space="preserve">Est. Cost (INR/mo)</w:t>
            </w:r>
          </w:p>
        </w:tc>
        <w:tc>
          <w:tcPr>
            <w:tcW w:type="dxa" w:w="1900"/>
            <w:tcBorders>
              <w:top w:val="single" w:color="6B1A67" w:sz="1"/>
              <w:left w:val="single" w:color="6B1A67" w:sz="1"/>
              <w:bottom w:val="single" w:color="6B1A67" w:sz="1"/>
              <w:right w:val="single" w:color="6B1A67" w:sz="1"/>
            </w:tcBorders>
            <w:shd w:fill="4B1248" w:val="clear"/>
            <w:tcMar>
              <w:top w:type="dxa" w:w="100"/>
              <w:left w:type="dxa" w:w="120"/>
              <w:bottom w:type="dxa" w:w="100"/>
              <w:right w:type="dxa" w:w="120"/>
            </w:tcMar>
          </w:tcPr>
          <w:p>
            <w:r>
              <w:rPr>
                <w:rFonts w:ascii="Arial" w:cs="Arial" w:eastAsia="Arial" w:hAnsi="Arial"/>
                <w:b/>
                <w:bCs/>
                <w:color w:val="FFFFFF"/>
                <w:sz w:val="19"/>
                <w:szCs w:val="19"/>
              </w:rPr>
              <w:t xml:space="preserve">Notes</w:t>
            </w:r>
          </w:p>
        </w:tc>
      </w:tr>
      <w:tr>
        <w:tc>
          <w:tcPr>
            <w:tcW w:type="dxa" w:w="35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1A0A18"/>
                <w:sz w:val="19"/>
                <w:szCs w:val="19"/>
              </w:rPr>
              <w:t xml:space="preserve">VPS Server (4 vCPU / 8 GB / 160 GB SSD)</w:t>
            </w:r>
          </w:p>
        </w:tc>
        <w:tc>
          <w:tcPr>
            <w:tcW w:type="dxa" w:w="19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Hetzner / DigitalOcean</w:t>
            </w:r>
          </w:p>
        </w:tc>
        <w:tc>
          <w:tcPr>
            <w:tcW w:type="dxa" w:w="206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INR 2,800 – 4,200</w:t>
            </w:r>
          </w:p>
        </w:tc>
        <w:tc>
          <w:tcPr>
            <w:tcW w:type="dxa" w:w="19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All services hosted here</w:t>
            </w:r>
          </w:p>
        </w:tc>
      </w:tr>
      <w:tr>
        <w:tc>
          <w:tcPr>
            <w:tcW w:type="dxa" w:w="35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1A0A18"/>
                <w:sz w:val="19"/>
                <w:szCs w:val="19"/>
              </w:rPr>
              <w:t xml:space="preserve">Domain registration (shaadi.me)</w:t>
            </w:r>
          </w:p>
        </w:tc>
        <w:tc>
          <w:tcPr>
            <w:tcW w:type="dxa" w:w="19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Namecheap / GoDaddy</w:t>
            </w:r>
          </w:p>
        </w:tc>
        <w:tc>
          <w:tcPr>
            <w:tcW w:type="dxa" w:w="206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INR 800 – 1,200 p.a.</w:t>
            </w:r>
          </w:p>
        </w:tc>
        <w:tc>
          <w:tcPr>
            <w:tcW w:type="dxa" w:w="19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Annual renewal only</w:t>
            </w:r>
          </w:p>
        </w:tc>
      </w:tr>
      <w:tr>
        <w:tc>
          <w:tcPr>
            <w:tcW w:type="dxa" w:w="35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1A0A18"/>
                <w:sz w:val="19"/>
                <w:szCs w:val="19"/>
              </w:rPr>
              <w:t xml:space="preserve">SSL certificates</w:t>
            </w:r>
          </w:p>
        </w:tc>
        <w:tc>
          <w:tcPr>
            <w:tcW w:type="dxa" w:w="19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Let's Encrypt</w:t>
            </w:r>
          </w:p>
        </w:tc>
        <w:tc>
          <w:tcPr>
            <w:tcW w:type="dxa" w:w="206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Free</w:t>
            </w:r>
          </w:p>
        </w:tc>
        <w:tc>
          <w:tcPr>
            <w:tcW w:type="dxa" w:w="19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Auto-renewing, both subdomains</w:t>
            </w:r>
          </w:p>
        </w:tc>
      </w:tr>
      <w:tr>
        <w:tc>
          <w:tcPr>
            <w:tcW w:type="dxa" w:w="35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1A0A18"/>
                <w:sz w:val="19"/>
                <w:szCs w:val="19"/>
              </w:rPr>
              <w:t xml:space="preserve">Jenkins</w:t>
            </w:r>
          </w:p>
        </w:tc>
        <w:tc>
          <w:tcPr>
            <w:tcW w:type="dxa" w:w="19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Self-hosted on VPS</w:t>
            </w:r>
          </w:p>
        </w:tc>
        <w:tc>
          <w:tcPr>
            <w:tcW w:type="dxa" w:w="206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Free (open-source)</w:t>
            </w:r>
          </w:p>
        </w:tc>
        <w:tc>
          <w:tcPr>
            <w:tcW w:type="dxa" w:w="19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No licensing fee</w:t>
            </w:r>
          </w:p>
        </w:tc>
      </w:tr>
      <w:tr>
        <w:tc>
          <w:tcPr>
            <w:tcW w:type="dxa" w:w="35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1A0A18"/>
                <w:sz w:val="19"/>
                <w:szCs w:val="19"/>
              </w:rPr>
              <w:t xml:space="preserve">Prometheus + Grafana</w:t>
            </w:r>
          </w:p>
        </w:tc>
        <w:tc>
          <w:tcPr>
            <w:tcW w:type="dxa" w:w="19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Self-hosted on VPS</w:t>
            </w:r>
          </w:p>
        </w:tc>
        <w:tc>
          <w:tcPr>
            <w:tcW w:type="dxa" w:w="206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Free (open-source)</w:t>
            </w:r>
          </w:p>
        </w:tc>
        <w:tc>
          <w:tcPr>
            <w:tcW w:type="dxa" w:w="19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Included in server cost</w:t>
            </w:r>
          </w:p>
        </w:tc>
      </w:tr>
      <w:tr>
        <w:tc>
          <w:tcPr>
            <w:tcW w:type="dxa" w:w="35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1A0A18"/>
                <w:sz w:val="19"/>
                <w:szCs w:val="19"/>
              </w:rPr>
              <w:t xml:space="preserve">Selenium + pytest</w:t>
            </w:r>
          </w:p>
        </w:tc>
        <w:tc>
          <w:tcPr>
            <w:tcW w:type="dxa" w:w="19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Runs inside Jenkins pipeline</w:t>
            </w:r>
          </w:p>
        </w:tc>
        <w:tc>
          <w:tcPr>
            <w:tcW w:type="dxa" w:w="206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Free (open-source)</w:t>
            </w:r>
          </w:p>
        </w:tc>
        <w:tc>
          <w:tcPr>
            <w:tcW w:type="dxa" w:w="19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No additional resource cost</w:t>
            </w:r>
          </w:p>
        </w:tc>
      </w:tr>
      <w:tr>
        <w:tc>
          <w:tcPr>
            <w:tcW w:type="dxa" w:w="35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1A0A18"/>
                <w:sz w:val="19"/>
                <w:szCs w:val="19"/>
              </w:rPr>
              <w:t xml:space="preserve">Filament CRM</w:t>
            </w:r>
          </w:p>
        </w:tc>
        <w:tc>
          <w:tcPr>
            <w:tcW w:type="dxa" w:w="19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Open-source Laravel package</w:t>
            </w:r>
          </w:p>
        </w:tc>
        <w:tc>
          <w:tcPr>
            <w:tcW w:type="dxa" w:w="206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Free</w:t>
            </w:r>
          </w:p>
        </w:tc>
        <w:tc>
          <w:tcPr>
            <w:tcW w:type="dxa" w:w="19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No licensing fee</w:t>
            </w:r>
          </w:p>
        </w:tc>
      </w:tr>
      <w:tr>
        <w:tc>
          <w:tcPr>
            <w:tcW w:type="dxa" w:w="35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1A0A18"/>
                <w:sz w:val="19"/>
                <w:szCs w:val="19"/>
              </w:rPr>
              <w:t xml:space="preserve">Email alerts</w:t>
            </w:r>
          </w:p>
        </w:tc>
        <w:tc>
          <w:tcPr>
            <w:tcW w:type="dxa" w:w="19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Resend free tier</w:t>
            </w:r>
          </w:p>
        </w:tc>
        <w:tc>
          <w:tcPr>
            <w:tcW w:type="dxa" w:w="206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Free initially</w:t>
            </w:r>
          </w:p>
        </w:tc>
        <w:tc>
          <w:tcPr>
            <w:tcW w:type="dxa" w:w="19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Upgrade as volume grows</w:t>
            </w:r>
          </w:p>
        </w:tc>
      </w:tr>
      <w:tr>
        <w:tc>
          <w:tcPr>
            <w:tcW w:type="dxa" w:w="3500"/>
            <w:tcBorders>
              <w:top w:val="single" w:color="D4B8D0" w:sz="1"/>
              <w:left w:val="single" w:color="D4B8D0" w:sz="1"/>
              <w:bottom w:val="single" w:color="D4B8D0" w:sz="1"/>
              <w:right w:val="single" w:color="D4B8D0" w:sz="1"/>
            </w:tcBorders>
            <w:shd w:fill="F0E6F0" w:val="clear"/>
            <w:tcMar>
              <w:top w:type="dxa" w:w="90"/>
              <w:left w:type="dxa" w:w="120"/>
              <w:bottom w:type="dxa" w:w="90"/>
              <w:right w:type="dxa" w:w="120"/>
            </w:tcMar>
          </w:tcPr>
          <w:p>
            <w:r>
              <w:rPr>
                <w:rFonts w:ascii="Arial" w:cs="Arial" w:eastAsia="Arial" w:hAnsi="Arial"/>
                <w:b/>
                <w:bCs/>
                <w:color w:val="4B1248"/>
                <w:sz w:val="19"/>
                <w:szCs w:val="19"/>
              </w:rPr>
              <w:t xml:space="preserve">TOTAL</w:t>
            </w:r>
          </w:p>
        </w:tc>
        <w:tc>
          <w:tcPr>
            <w:tcW w:type="dxa" w:w="1900"/>
            <w:tcBorders>
              <w:top w:val="single" w:color="D4B8D0" w:sz="1"/>
              <w:left w:val="single" w:color="D4B8D0" w:sz="1"/>
              <w:bottom w:val="single" w:color="D4B8D0" w:sz="1"/>
              <w:right w:val="single" w:color="D4B8D0" w:sz="1"/>
            </w:tcBorders>
            <w:shd w:fill="F0E6F0" w:val="clear"/>
            <w:tcMar>
              <w:top w:type="dxa" w:w="90"/>
              <w:left w:type="dxa" w:w="120"/>
              <w:bottom w:type="dxa" w:w="90"/>
              <w:right w:type="dxa" w:w="120"/>
            </w:tcMar>
          </w:tcPr>
          <w:p>
            <w:r>
              <w:rPr>
                <w:rFonts w:ascii="Arial" w:cs="Arial" w:eastAsia="Arial" w:hAnsi="Arial"/>
                <w:b/>
                <w:bCs/>
                <w:color w:val="4B1248"/>
                <w:sz w:val="19"/>
                <w:szCs w:val="19"/>
              </w:rPr>
              <w:t xml:space="preserve"/>
            </w:r>
          </w:p>
        </w:tc>
        <w:tc>
          <w:tcPr>
            <w:tcW w:type="dxa" w:w="2060"/>
            <w:tcBorders>
              <w:top w:val="single" w:color="D4B8D0" w:sz="1"/>
              <w:left w:val="single" w:color="D4B8D0" w:sz="1"/>
              <w:bottom w:val="single" w:color="D4B8D0" w:sz="1"/>
              <w:right w:val="single" w:color="D4B8D0" w:sz="1"/>
            </w:tcBorders>
            <w:shd w:fill="F0E6F0" w:val="clear"/>
            <w:tcMar>
              <w:top w:type="dxa" w:w="90"/>
              <w:left w:type="dxa" w:w="120"/>
              <w:bottom w:type="dxa" w:w="90"/>
              <w:right w:type="dxa" w:w="120"/>
            </w:tcMar>
          </w:tcPr>
          <w:p>
            <w:r>
              <w:rPr>
                <w:rFonts w:ascii="Arial" w:cs="Arial" w:eastAsia="Arial" w:hAnsi="Arial"/>
                <w:b/>
                <w:bCs/>
                <w:color w:val="4B1248"/>
                <w:sz w:val="19"/>
                <w:szCs w:val="19"/>
              </w:rPr>
              <w:t xml:space="preserve">INR 2,800 – 4,200 / month</w:t>
            </w:r>
          </w:p>
        </w:tc>
        <w:tc>
          <w:tcPr>
            <w:tcW w:type="dxa" w:w="1900"/>
            <w:tcBorders>
              <w:top w:val="single" w:color="D4B8D0" w:sz="1"/>
              <w:left w:val="single" w:color="D4B8D0" w:sz="1"/>
              <w:bottom w:val="single" w:color="D4B8D0" w:sz="1"/>
              <w:right w:val="single" w:color="D4B8D0" w:sz="1"/>
            </w:tcBorders>
            <w:shd w:fill="F0E6F0" w:val="clear"/>
            <w:tcMar>
              <w:top w:type="dxa" w:w="90"/>
              <w:left w:type="dxa" w:w="120"/>
              <w:bottom w:type="dxa" w:w="90"/>
              <w:right w:type="dxa" w:w="120"/>
            </w:tcMar>
          </w:tcPr>
          <w:p>
            <w:r>
              <w:rPr>
                <w:rFonts w:ascii="Arial" w:cs="Arial" w:eastAsia="Arial" w:hAnsi="Arial"/>
                <w:b/>
                <w:bCs/>
                <w:color w:val="4B1248"/>
                <w:sz w:val="19"/>
                <w:szCs w:val="19"/>
              </w:rPr>
              <w:t xml:space="preserve">Plus annual domain renewal</w:t>
            </w:r>
          </w:p>
        </w:tc>
      </w:tr>
    </w:tbl>
    <w:p>
      <w:pPr>
        <w:spacing w:after="0" w:before="180"/>
      </w:pPr>
    </w:p>
    <w:p>
      <w:pPr>
        <w:spacing w:after="140" w:before="80"/>
      </w:pPr>
      <w:r>
        <w:rPr>
          <w:rFonts w:ascii="Arial" w:cs="Arial" w:eastAsia="Arial" w:hAnsi="Arial"/>
          <w:b w:val="false"/>
          <w:bCs w:val="false"/>
          <w:i/>
          <w:iCs/>
          <w:color w:val="6B5568"/>
          <w:sz w:val="22"/>
          <w:szCs w:val="22"/>
        </w:rPr>
        <w:t xml:space="preserve">The only unavoidable recurring expense is the server. Every other component in this proposal is open-source and carries no licensing cost.</w:t>
      </w:r>
    </w:p>
    <w:p>
      <w:r>
        <w:br w:type="page"/>
      </w:r>
    </w:p>
    <w:p>
      <w:pPr>
        <w:pStyle w:val="Heading1"/>
      </w:pPr>
      <w:r>
        <w:t xml:space="preserve">9.  Alternatives Evaluated and Not Selected</w:t>
      </w:r>
    </w:p>
    <w:p>
      <w:pPr>
        <w:pBdr>
          <w:bottom w:val="single" w:color="D4B8D0" w:sz="4" w:space="1"/>
        </w:pBdr>
        <w:spacing w:after="180" w:before="0"/>
      </w:pPr>
    </w:p>
    <w:p>
      <w:pPr>
        <w:spacing w:after="140" w:before="80"/>
      </w:pPr>
      <w:r>
        <w:rPr>
          <w:rFonts w:ascii="Arial" w:cs="Arial" w:eastAsia="Arial" w:hAnsi="Arial"/>
          <w:b w:val="false"/>
          <w:bCs w:val="false"/>
          <w:i w:val="false"/>
          <w:iCs w:val="false"/>
          <w:color w:val="1A0A18"/>
          <w:sz w:val="22"/>
          <w:szCs w:val="22"/>
        </w:rPr>
        <w:t xml:space="preserve">For each tooling decision, alternatives were considered. The table below records what was evaluated, what was chosen, and the specific reason the alternative was not selected. Every recommendation in this document is deliberate.</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4260"/>
      </w:tblGrid>
      <w:tr>
        <w:trPr>
          <w:tblHeader/>
        </w:trPr>
        <w:tc>
          <w:tcPr>
            <w:tcW w:type="dxa" w:w="1700"/>
            <w:tcBorders>
              <w:top w:val="single" w:color="B01F68" w:sz="1"/>
              <w:left w:val="single" w:color="B01F68" w:sz="1"/>
              <w:bottom w:val="single" w:color="B01F68" w:sz="1"/>
              <w:right w:val="single" w:color="B01F68" w:sz="1"/>
            </w:tcBorders>
            <w:shd w:fill="B01F68" w:val="clear"/>
            <w:tcMar>
              <w:top w:type="dxa" w:w="100"/>
              <w:left w:type="dxa" w:w="120"/>
              <w:bottom w:type="dxa" w:w="100"/>
              <w:right w:type="dxa" w:w="120"/>
            </w:tcMar>
          </w:tcPr>
          <w:p>
            <w:r>
              <w:rPr>
                <w:rFonts w:ascii="Arial" w:cs="Arial" w:eastAsia="Arial" w:hAnsi="Arial"/>
                <w:b/>
                <w:bCs/>
                <w:color w:val="FFFFFF"/>
                <w:sz w:val="19"/>
                <w:szCs w:val="19"/>
              </w:rPr>
              <w:t xml:space="preserve">Category</w:t>
            </w:r>
          </w:p>
        </w:tc>
        <w:tc>
          <w:tcPr>
            <w:tcW w:type="dxa" w:w="1700"/>
            <w:tcBorders>
              <w:top w:val="single" w:color="B01F68" w:sz="1"/>
              <w:left w:val="single" w:color="B01F68" w:sz="1"/>
              <w:bottom w:val="single" w:color="B01F68" w:sz="1"/>
              <w:right w:val="single" w:color="B01F68" w:sz="1"/>
            </w:tcBorders>
            <w:shd w:fill="B01F68" w:val="clear"/>
            <w:tcMar>
              <w:top w:type="dxa" w:w="100"/>
              <w:left w:type="dxa" w:w="120"/>
              <w:bottom w:type="dxa" w:w="100"/>
              <w:right w:type="dxa" w:w="120"/>
            </w:tcMar>
          </w:tcPr>
          <w:p>
            <w:r>
              <w:rPr>
                <w:rFonts w:ascii="Arial" w:cs="Arial" w:eastAsia="Arial" w:hAnsi="Arial"/>
                <w:b/>
                <w:bCs/>
                <w:color w:val="FFFFFF"/>
                <w:sz w:val="19"/>
                <w:szCs w:val="19"/>
              </w:rPr>
              <w:t xml:space="preserve">We Chose</w:t>
            </w:r>
          </w:p>
        </w:tc>
        <w:tc>
          <w:tcPr>
            <w:tcW w:type="dxa" w:w="1700"/>
            <w:tcBorders>
              <w:top w:val="single" w:color="B01F68" w:sz="1"/>
              <w:left w:val="single" w:color="B01F68" w:sz="1"/>
              <w:bottom w:val="single" w:color="B01F68" w:sz="1"/>
              <w:right w:val="single" w:color="B01F68" w:sz="1"/>
            </w:tcBorders>
            <w:shd w:fill="B01F68" w:val="clear"/>
            <w:tcMar>
              <w:top w:type="dxa" w:w="100"/>
              <w:left w:type="dxa" w:w="120"/>
              <w:bottom w:type="dxa" w:w="100"/>
              <w:right w:type="dxa" w:w="120"/>
            </w:tcMar>
          </w:tcPr>
          <w:p>
            <w:r>
              <w:rPr>
                <w:rFonts w:ascii="Arial" w:cs="Arial" w:eastAsia="Arial" w:hAnsi="Arial"/>
                <w:b/>
                <w:bCs/>
                <w:color w:val="FFFFFF"/>
                <w:sz w:val="19"/>
                <w:szCs w:val="19"/>
              </w:rPr>
              <w:t xml:space="preserve">Alternative</w:t>
            </w:r>
          </w:p>
        </w:tc>
        <w:tc>
          <w:tcPr>
            <w:tcW w:type="dxa" w:w="4260"/>
            <w:tcBorders>
              <w:top w:val="single" w:color="B01F68" w:sz="1"/>
              <w:left w:val="single" w:color="B01F68" w:sz="1"/>
              <w:bottom w:val="single" w:color="B01F68" w:sz="1"/>
              <w:right w:val="single" w:color="B01F68" w:sz="1"/>
            </w:tcBorders>
            <w:shd w:fill="B01F68" w:val="clear"/>
            <w:tcMar>
              <w:top w:type="dxa" w:w="100"/>
              <w:left w:type="dxa" w:w="120"/>
              <w:bottom w:type="dxa" w:w="100"/>
              <w:right w:type="dxa" w:w="120"/>
            </w:tcMar>
          </w:tcPr>
          <w:p>
            <w:r>
              <w:rPr>
                <w:rFonts w:ascii="Arial" w:cs="Arial" w:eastAsia="Arial" w:hAnsi="Arial"/>
                <w:b/>
                <w:bCs/>
                <w:color w:val="FFFFFF"/>
                <w:sz w:val="19"/>
                <w:szCs w:val="19"/>
              </w:rPr>
              <w:t xml:space="preserve">Why We Did Not Choose It</w:t>
            </w:r>
          </w:p>
        </w:tc>
      </w:tr>
      <w:tr>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4B1248"/>
                <w:sz w:val="19"/>
                <w:szCs w:val="19"/>
              </w:rPr>
              <w:t xml:space="preserve">CI/CD</w:t>
            </w:r>
          </w:p>
        </w:tc>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1A6B1A"/>
                <w:sz w:val="19"/>
                <w:szCs w:val="19"/>
              </w:rPr>
              <w:t xml:space="preserve">Jenkins</w:t>
            </w:r>
          </w:p>
        </w:tc>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GitHub Actions</w:t>
            </w:r>
          </w:p>
        </w:tc>
        <w:tc>
          <w:tcPr>
            <w:tcW w:type="dxa" w:w="426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Runs on GitHub's cloud infrastructure, introducing a third-party dependency for our core deployment process and per-minute billing at scale. Jenkins, self-hosted, keeps all deployment credentials on our own infrastructure at zero additional cost.</w:t>
            </w:r>
          </w:p>
        </w:tc>
      </w:tr>
      <w:tr>
        <w:tc>
          <w:tcPr>
            <w:tcW w:type="dxa" w:w="17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4B1248"/>
                <w:sz w:val="19"/>
                <w:szCs w:val="19"/>
              </w:rPr>
              <w:t xml:space="preserve">CI/CD</w:t>
            </w:r>
          </w:p>
        </w:tc>
        <w:tc>
          <w:tcPr>
            <w:tcW w:type="dxa" w:w="17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1A6B1A"/>
                <w:sz w:val="19"/>
                <w:szCs w:val="19"/>
              </w:rPr>
              <w:t xml:space="preserve">Jenkins</w:t>
            </w:r>
          </w:p>
        </w:tc>
        <w:tc>
          <w:tcPr>
            <w:tcW w:type="dxa" w:w="17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GitLab CI</w:t>
            </w:r>
          </w:p>
        </w:tc>
        <w:tc>
          <w:tcPr>
            <w:tcW w:type="dxa" w:w="426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Requires migrating the codebase from GitHub to GitLab or maintaining two remote repositories. The migration complexity is not justified when Jenkins integrates with GitHub directly.</w:t>
            </w:r>
          </w:p>
        </w:tc>
      </w:tr>
      <w:tr>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4B1248"/>
                <w:sz w:val="19"/>
                <w:szCs w:val="19"/>
              </w:rPr>
              <w:t xml:space="preserve">CI/CD</w:t>
            </w:r>
          </w:p>
        </w:tc>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1A6B1A"/>
                <w:sz w:val="19"/>
                <w:szCs w:val="19"/>
              </w:rPr>
              <w:t xml:space="preserve">Jenkins</w:t>
            </w:r>
          </w:p>
        </w:tc>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CircleCI</w:t>
            </w:r>
          </w:p>
        </w:tc>
        <w:tc>
          <w:tcPr>
            <w:tcW w:type="dxa" w:w="426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A managed cloud CI product whose free tier is limited and production workloads quickly exceed. Paid plans start at approximately INR 6,500 per month. Jenkins on our own server is free.</w:t>
            </w:r>
          </w:p>
        </w:tc>
      </w:tr>
      <w:tr>
        <w:tc>
          <w:tcPr>
            <w:tcW w:type="dxa" w:w="17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4B1248"/>
                <w:sz w:val="19"/>
                <w:szCs w:val="19"/>
              </w:rPr>
              <w:t xml:space="preserve">Testing</w:t>
            </w:r>
          </w:p>
        </w:tc>
        <w:tc>
          <w:tcPr>
            <w:tcW w:type="dxa" w:w="17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1A6B1A"/>
                <w:sz w:val="19"/>
                <w:szCs w:val="19"/>
              </w:rPr>
              <w:t xml:space="preserve">Selenium + pytest</w:t>
            </w:r>
          </w:p>
        </w:tc>
        <w:tc>
          <w:tcPr>
            <w:tcW w:type="dxa" w:w="17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Playwright</w:t>
            </w:r>
          </w:p>
        </w:tc>
        <w:tc>
          <w:tcPr>
            <w:tcW w:type="dxa" w:w="426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A strong modern framework that was evaluated seriously. Selenium was chosen for its broader documentation in the Indian developer community, cleaner Jenkins integration examples, and the existing team context around it. Playwright may be reconsidered for future expansion.</w:t>
            </w:r>
          </w:p>
        </w:tc>
      </w:tr>
      <w:tr>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4B1248"/>
                <w:sz w:val="19"/>
                <w:szCs w:val="19"/>
              </w:rPr>
              <w:t xml:space="preserve">Testing</w:t>
            </w:r>
          </w:p>
        </w:tc>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1A6B1A"/>
                <w:sz w:val="19"/>
                <w:szCs w:val="19"/>
              </w:rPr>
              <w:t xml:space="preserve">Selenium + pytest</w:t>
            </w:r>
          </w:p>
        </w:tc>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Cypress</w:t>
            </w:r>
          </w:p>
        </w:tc>
        <w:tc>
          <w:tcPr>
            <w:tcW w:type="dxa" w:w="426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Requires a persistent Node.js process during test execution, complicating headless CI integration. Also does not support Safari. Selenium with ChromeDriver runs cleanly headless inside Jenkins.</w:t>
            </w:r>
          </w:p>
        </w:tc>
      </w:tr>
      <w:tr>
        <w:tc>
          <w:tcPr>
            <w:tcW w:type="dxa" w:w="17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4B1248"/>
                <w:sz w:val="19"/>
                <w:szCs w:val="19"/>
              </w:rPr>
              <w:t xml:space="preserve">Monitoring</w:t>
            </w:r>
          </w:p>
        </w:tc>
        <w:tc>
          <w:tcPr>
            <w:tcW w:type="dxa" w:w="17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1A6B1A"/>
                <w:sz w:val="19"/>
                <w:szCs w:val="19"/>
              </w:rPr>
              <w:t xml:space="preserve">Prometheus + Grafana</w:t>
            </w:r>
          </w:p>
        </w:tc>
        <w:tc>
          <w:tcPr>
            <w:tcW w:type="dxa" w:w="17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Datadog</w:t>
            </w:r>
          </w:p>
        </w:tc>
        <w:tc>
          <w:tcPr>
            <w:tcW w:type="dxa" w:w="426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The right choice at Series A scale. At the current stage, Datadog's entry plan costs INR 15,000 – 25,000 per month per host. Prometheus and Grafana provide equivalent core functionality at no cost. The move to Datadog can be made later without changing the metrics architecture.</w:t>
            </w:r>
          </w:p>
        </w:tc>
      </w:tr>
      <w:tr>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4B1248"/>
                <w:sz w:val="19"/>
                <w:szCs w:val="19"/>
              </w:rPr>
              <w:t xml:space="preserve">Monitoring</w:t>
            </w:r>
          </w:p>
        </w:tc>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1A6B1A"/>
                <w:sz w:val="19"/>
                <w:szCs w:val="19"/>
              </w:rPr>
              <w:t xml:space="preserve">Prometheus + Grafana</w:t>
            </w:r>
          </w:p>
        </w:tc>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New Relic</w:t>
            </w:r>
          </w:p>
        </w:tc>
        <w:tc>
          <w:tcPr>
            <w:tcW w:type="dxa" w:w="426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The free tier has a 100 GB per month data ingest limit that is easy to exceed. Beyond that, costs escalate quickly. The platform also requires instrumenting the application with a proprietary agent, creating vendor lock-in that Prometheus avoids.</w:t>
            </w:r>
          </w:p>
        </w:tc>
      </w:tr>
      <w:tr>
        <w:tc>
          <w:tcPr>
            <w:tcW w:type="dxa" w:w="17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4B1248"/>
                <w:sz w:val="19"/>
                <w:szCs w:val="19"/>
              </w:rPr>
              <w:t xml:space="preserve">Monitoring</w:t>
            </w:r>
          </w:p>
        </w:tc>
        <w:tc>
          <w:tcPr>
            <w:tcW w:type="dxa" w:w="17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1A6B1A"/>
                <w:sz w:val="19"/>
                <w:szCs w:val="19"/>
              </w:rPr>
              <w:t xml:space="preserve">Prometheus + Grafana</w:t>
            </w:r>
          </w:p>
        </w:tc>
        <w:tc>
          <w:tcPr>
            <w:tcW w:type="dxa" w:w="17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AWS CloudWatch</w:t>
            </w:r>
          </w:p>
        </w:tc>
        <w:tc>
          <w:tcPr>
            <w:tcW w:type="dxa" w:w="426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Tightly coupled to AWS infrastructure. Our server is not on AWS, and migrating solely for monitoring is not justified. If infrastructure moves to AWS in future, CloudWatch becomes the natural fit at that point.</w:t>
            </w:r>
          </w:p>
        </w:tc>
      </w:tr>
      <w:tr>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4B1248"/>
                <w:sz w:val="19"/>
                <w:szCs w:val="19"/>
              </w:rPr>
              <w:t xml:space="preserve">CRM</w:t>
            </w:r>
          </w:p>
        </w:tc>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1A6B1A"/>
                <w:sz w:val="19"/>
                <w:szCs w:val="19"/>
              </w:rPr>
              <w:t xml:space="preserve">Filament (Laravel)</w:t>
            </w:r>
          </w:p>
        </w:tc>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HubSpot CRM</w:t>
            </w:r>
          </w:p>
        </w:tc>
        <w:tc>
          <w:tcPr>
            <w:tcW w:type="dxa" w:w="426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A capable sales CRM but operates as a separate SaaS product with no native database connection. Lead data from the intake form would need forwarding via API or Zapier — an additional layer to maintain and pay for. Filament reads directly from our existing database with no forwarding required.</w:t>
            </w:r>
          </w:p>
        </w:tc>
      </w:tr>
      <w:tr>
        <w:tc>
          <w:tcPr>
            <w:tcW w:type="dxa" w:w="17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4B1248"/>
                <w:sz w:val="19"/>
                <w:szCs w:val="19"/>
              </w:rPr>
              <w:t xml:space="preserve">CRM</w:t>
            </w:r>
          </w:p>
        </w:tc>
        <w:tc>
          <w:tcPr>
            <w:tcW w:type="dxa" w:w="17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1A6B1A"/>
                <w:sz w:val="19"/>
                <w:szCs w:val="19"/>
              </w:rPr>
              <w:t xml:space="preserve">Filament (Laravel)</w:t>
            </w:r>
          </w:p>
        </w:tc>
        <w:tc>
          <w:tcPr>
            <w:tcW w:type="dxa" w:w="17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Airtable</w:t>
            </w:r>
          </w:p>
        </w:tc>
        <w:tc>
          <w:tcPr>
            <w:tcW w:type="dxa" w:w="426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A no-code database product, not a true CRM. Requires manually importing leads or building a webhook integration. Also introduces a monthly subscription of INR 1,200 – 3,500 per user. Filament is free and directly integrated with our data.</w:t>
            </w:r>
          </w:p>
        </w:tc>
      </w:tr>
      <w:tr>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4B1248"/>
                <w:sz w:val="19"/>
                <w:szCs w:val="19"/>
              </w:rPr>
              <w:t xml:space="preserve">CRM</w:t>
            </w:r>
          </w:p>
        </w:tc>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1A6B1A"/>
                <w:sz w:val="19"/>
                <w:szCs w:val="19"/>
              </w:rPr>
              <w:t xml:space="preserve">Filament (Laravel)</w:t>
            </w:r>
          </w:p>
        </w:tc>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Custom React frontend</w:t>
            </w:r>
          </w:p>
        </w:tc>
        <w:tc>
          <w:tcPr>
            <w:tcW w:type="dxa" w:w="426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The first approach considered. Build time estimate was three to four weeks for a comparable feature set. Filament delivers the same result in three to five days because it is purpose-built for this use case on top of our existing Laravel backend. Engineering effort is better directed at customer-facing features.</w:t>
            </w:r>
          </w:p>
        </w:tc>
      </w:tr>
      <w:tr>
        <w:tc>
          <w:tcPr>
            <w:tcW w:type="dxa" w:w="17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4B1248"/>
                <w:sz w:val="19"/>
                <w:szCs w:val="19"/>
              </w:rPr>
              <w:t xml:space="preserve">Hosting</w:t>
            </w:r>
          </w:p>
        </w:tc>
        <w:tc>
          <w:tcPr>
            <w:tcW w:type="dxa" w:w="17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bCs/>
                <w:color w:val="1A6B1A"/>
                <w:sz w:val="19"/>
                <w:szCs w:val="19"/>
              </w:rPr>
              <w:t xml:space="preserve">Hetzner / DigitalOcean</w:t>
            </w:r>
          </w:p>
        </w:tc>
        <w:tc>
          <w:tcPr>
            <w:tcW w:type="dxa" w:w="170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AWS EC2</w:t>
            </w:r>
          </w:p>
        </w:tc>
        <w:tc>
          <w:tcPr>
            <w:tcW w:type="dxa" w:w="4260"/>
            <w:tcBorders>
              <w:top w:val="single" w:color="D4B8D0" w:sz="1"/>
              <w:left w:val="single" w:color="D4B8D0" w:sz="1"/>
              <w:bottom w:val="single" w:color="D4B8D0" w:sz="1"/>
              <w:right w:val="single" w:color="D4B8D0" w:sz="1"/>
            </w:tcBorders>
            <w:shd w:fill="FAF4F6" w:val="clear"/>
            <w:tcMar>
              <w:top w:type="dxa" w:w="90"/>
              <w:left w:type="dxa" w:w="120"/>
              <w:bottom w:type="dxa" w:w="90"/>
              <w:right w:type="dxa" w:w="120"/>
            </w:tcMar>
          </w:tcPr>
          <w:p>
            <w:r>
              <w:rPr>
                <w:rFonts w:ascii="Arial" w:cs="Arial" w:eastAsia="Arial" w:hAnsi="Arial"/>
                <w:b w:val="false"/>
                <w:bCs w:val="false"/>
                <w:color w:val="1A0A18"/>
                <w:sz w:val="19"/>
                <w:szCs w:val="19"/>
              </w:rPr>
              <w:t xml:space="preserve">Excellent at scale. At the current stage, an equivalent EC2 configuration costs two to three times more for the same hardware, with added billing complexity. The architecture is fully portable to AWS if that becomes the preferred provider.</w:t>
            </w:r>
          </w:p>
        </w:tc>
      </w:tr>
      <w:tr>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4B1248"/>
                <w:sz w:val="19"/>
                <w:szCs w:val="19"/>
              </w:rPr>
              <w:t xml:space="preserve">Hosting</w:t>
            </w:r>
          </w:p>
        </w:tc>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bCs/>
                <w:color w:val="1A6B1A"/>
                <w:sz w:val="19"/>
                <w:szCs w:val="19"/>
              </w:rPr>
              <w:t xml:space="preserve">Hetzner / DigitalOcean</w:t>
            </w:r>
          </w:p>
        </w:tc>
        <w:tc>
          <w:tcPr>
            <w:tcW w:type="dxa" w:w="170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Vercel + Railway</w:t>
            </w:r>
          </w:p>
        </w:tc>
        <w:tc>
          <w:tcPr>
            <w:tcW w:type="dxa" w:w="4260"/>
            <w:tcBorders>
              <w:top w:val="single" w:color="D4B8D0" w:sz="1"/>
              <w:left w:val="single" w:color="D4B8D0" w:sz="1"/>
              <w:bottom w:val="single" w:color="D4B8D0" w:sz="1"/>
              <w:right w:val="single" w:color="D4B8D0" w:sz="1"/>
            </w:tcBorders>
            <w:shd w:fill="FFFFFF" w:val="clear"/>
            <w:tcMar>
              <w:top w:type="dxa" w:w="90"/>
              <w:left w:type="dxa" w:w="120"/>
              <w:bottom w:type="dxa" w:w="90"/>
              <w:right w:type="dxa" w:w="120"/>
            </w:tcMar>
          </w:tcPr>
          <w:p>
            <w:r>
              <w:rPr>
                <w:rFonts w:ascii="Arial" w:cs="Arial" w:eastAsia="Arial" w:hAnsi="Arial"/>
                <w:b w:val="false"/>
                <w:bCs w:val="false"/>
                <w:color w:val="1A0A18"/>
                <w:sz w:val="19"/>
                <w:szCs w:val="19"/>
              </w:rPr>
              <w:t xml:space="preserve">Vercel is designed for static frontends and serverless functions. Our Laravel backend is a traditional PHP application and does not run on Vercel. Railway supports Laravel but charges per-usage, making costs unpredictable under real traffic. A single VPS gives deterministic monthly costs and full control.</w:t>
            </w:r>
          </w:p>
        </w:tc>
      </w:tr>
    </w:tbl>
    <w:p>
      <w:r>
        <w:br w:type="page"/>
      </w:r>
    </w:p>
    <w:p>
      <w:pPr>
        <w:pStyle w:val="Heading1"/>
      </w:pPr>
      <w:r>
        <w:t xml:space="preserve">10.  Conclusion and Request for Approval</w:t>
      </w:r>
    </w:p>
    <w:p>
      <w:pPr>
        <w:pBdr>
          <w:bottom w:val="single" w:color="D4B8D0" w:sz="4" w:space="1"/>
        </w:pBdr>
        <w:spacing w:after="180" w:before="0"/>
      </w:pPr>
    </w:p>
    <w:p>
      <w:pPr>
        <w:spacing w:after="140" w:before="80"/>
      </w:pPr>
      <w:r>
        <w:rPr>
          <w:rFonts w:ascii="Arial" w:cs="Arial" w:eastAsia="Arial" w:hAnsi="Arial"/>
          <w:b w:val="false"/>
          <w:bCs w:val="false"/>
          <w:i w:val="false"/>
          <w:iCs w:val="false"/>
          <w:color w:val="1A0A18"/>
          <w:sz w:val="22"/>
          <w:szCs w:val="22"/>
        </w:rPr>
        <w:t xml:space="preserve">ShaadiMe is ready for production. The platform is built. What stands between the current development state and a reliable, monitored, maintainable live product is the infrastructure described in this document.</w:t>
      </w:r>
    </w:p>
    <w:p>
      <w:pPr>
        <w:spacing w:after="140" w:before="80"/>
      </w:pPr>
      <w:r>
        <w:rPr>
          <w:rFonts w:ascii="Arial" w:cs="Arial" w:eastAsia="Arial" w:hAnsi="Arial"/>
          <w:b w:val="false"/>
          <w:bCs w:val="false"/>
          <w:i w:val="false"/>
          <w:iCs w:val="false"/>
          <w:color w:val="1A0A18"/>
          <w:sz w:val="22"/>
          <w:szCs w:val="22"/>
        </w:rPr>
        <w:t xml:space="preserve">The total additional monthly cost is INR 2,800 to 4,200 — the cost of a single server. Every other tool in this proposal is open-source and free. Choices were made deliberately to minimise cost while maintaining the standard appropriate for a premium brand handling personal and financial information.</w:t>
      </w:r>
    </w:p>
    <w:p>
      <w:pPr>
        <w:spacing w:after="140" w:before="80"/>
      </w:pPr>
      <w:r>
        <w:rPr>
          <w:rFonts w:ascii="Arial" w:cs="Arial" w:eastAsia="Arial" w:hAnsi="Arial"/>
          <w:b w:val="false"/>
          <w:bCs w:val="false"/>
          <w:i w:val="false"/>
          <w:iCs w:val="false"/>
          <w:color w:val="1A0A18"/>
          <w:sz w:val="22"/>
          <w:szCs w:val="22"/>
        </w:rPr>
        <w:t xml:space="preserve">We request approval to proceed with server procurement and infrastructure setup as described.</w:t>
      </w:r>
    </w:p>
    <w:p>
      <w:pPr>
        <w:spacing w:after="0" w:before="320"/>
      </w:pPr>
    </w:p>
    <w:p>
      <w:pPr>
        <w:pBdr>
          <w:bottom w:val="single" w:color="C9A96E" w:sz="4" w:space="1"/>
        </w:pBdr>
        <w:spacing w:after="100" w:before="0"/>
      </w:pPr>
    </w:p>
    <w:p>
      <w:pPr>
        <w:spacing w:after="140" w:before="80"/>
      </w:pPr>
      <w:r>
        <w:rPr>
          <w:rFonts w:ascii="Arial" w:cs="Arial" w:eastAsia="Arial" w:hAnsi="Arial"/>
          <w:b w:val="false"/>
          <w:bCs w:val="false"/>
          <w:i/>
          <w:iCs/>
          <w:color w:val="6B5568"/>
          <w:sz w:val="22"/>
          <w:szCs w:val="22"/>
        </w:rPr>
        <w:t xml:space="preserve">Prepared by the ShaadiMe Engineering Team</w:t>
      </w:r>
    </w:p>
    <w:p>
      <w:pPr>
        <w:spacing w:after="140" w:before="80"/>
      </w:pPr>
      <w:r>
        <w:rPr>
          <w:rFonts w:ascii="Arial" w:cs="Arial" w:eastAsia="Arial" w:hAnsi="Arial"/>
          <w:b w:val="false"/>
          <w:bCs w:val="false"/>
          <w:i/>
          <w:iCs/>
          <w:color w:val="6B5568"/>
          <w:sz w:val="22"/>
          <w:szCs w:val="22"/>
        </w:rPr>
        <w:t xml:space="preserve">For questions on this document, contact the lead engineer directly.</w:t>
      </w:r>
    </w:p>
    <w:sectPr>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B8D0" w:sz="4" w:space="6"/>
      </w:pBdr>
      <w:tabs>
        <w:tab w:val="right" w:pos="9026"/>
      </w:tabs>
      <w:spacing w:before="80"/>
    </w:pPr>
    <w:r>
      <w:rPr>
        <w:rFonts w:ascii="Arial" w:cs="Arial" w:eastAsia="Arial" w:hAnsi="Arial"/>
        <w:color w:val="6B5568"/>
        <w:sz w:val="16"/>
        <w:szCs w:val="16"/>
      </w:rPr>
      <w:t xml:space="preserve">ShaadiMe  —  Internal  —  Confidential</w:t>
    </w:r>
    <w:r>
      <w:rPr>
        <w:rFonts w:ascii="Arial" w:cs="Arial" w:eastAsia="Arial" w:hAnsi="Arial"/>
        <w:sz w:val="16"/>
        <w:szCs w:val="16"/>
      </w:rPr>
      <w:t xml:space="preserve">	</w:t>
    </w:r>
    <w:r>
      <w:rPr>
        <w:rFonts w:ascii="Arial" w:cs="Arial" w:eastAsia="Arial" w:hAnsi="Arial"/>
        <w:color w:val="6B5568"/>
        <w:sz w:val="16"/>
        <w:szCs w:val="16"/>
      </w:rPr>
      <w:t xml:space="preserve">Page </w:t>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0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4B1248"/>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6B1A6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2026-05-03T15:44:28.643Z</dcterms:created>
  <dcterms:modified xsi:type="dcterms:W3CDTF">2026-05-03T15:44:28.643Z</dcterms:modified>
</cp:coreProperties>
</file>

<file path=docProps/custom.xml><?xml version="1.0" encoding="utf-8"?>
<Properties xmlns="http://schemas.openxmlformats.org/officeDocument/2006/custom-properties" xmlns:vt="http://schemas.openxmlformats.org/officeDocument/2006/docPropsVTypes"/>
</file>