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MEMORANDUM</w:t>
      </w:r>
    </w:p>
    <w:p w:rsidR="00000000" w:rsidDel="00000000" w:rsidP="00000000" w:rsidRDefault="00000000" w:rsidRPr="00000000" w14:paraId="0000000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Andre Padilla</w:t>
      </w:r>
    </w:p>
    <w:p w:rsidR="00000000" w:rsidDel="00000000" w:rsidP="00000000" w:rsidRDefault="00000000" w:rsidRPr="00000000" w14:paraId="0000000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Data Analyst</w:t>
      </w:r>
    </w:p>
    <w:p w:rsidR="00000000" w:rsidDel="00000000" w:rsidP="00000000" w:rsidRDefault="00000000" w:rsidRPr="00000000" w14:paraId="0000000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September 27, 2026</w:t>
      </w:r>
    </w:p>
    <w:p w:rsidR="00000000" w:rsidDel="00000000" w:rsidP="00000000" w:rsidRDefault="00000000" w:rsidRPr="00000000" w14:paraId="0000000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USA Avocado Market Trends Analysis (Periods 1–12: 2025 vs. 2026)</w:t>
      </w:r>
    </w:p>
    <w:p w:rsidR="00000000" w:rsidDel="00000000" w:rsidP="00000000" w:rsidRDefault="00000000" w:rsidRPr="00000000" w14:paraId="00000006">
      <w:pPr>
        <w:pStyle w:val="Heading3"/>
        <w:keepNext w:val="0"/>
        <w:keepLines w:val="0"/>
        <w:spacing w:before="0" w:line="240" w:lineRule="auto"/>
        <w:rPr>
          <w:rFonts w:ascii="Times New Roman" w:cs="Times New Roman" w:eastAsia="Times New Roman" w:hAnsi="Times New Roman"/>
          <w:b w:val="1"/>
          <w:bCs w:val="1"/>
          <w:color w:val="000000"/>
          <w:sz w:val="24"/>
          <w:szCs w:val="24"/>
        </w:rPr>
      </w:pPr>
      <w:bookmarkStart w:colFirst="0" w:colLast="0" w:name="_2zcmxuu856p9" w:id="0"/>
      <w:bookmarkEnd w:id="0"/>
      <w:r w:rsidDel="00000000" w:rsidR="00000000" w:rsidRPr="00000000">
        <w:rPr>
          <w:rFonts w:ascii="Times New Roman" w:cs="Times New Roman" w:eastAsia="Times New Roman" w:hAnsi="Times New Roman"/>
          <w:b w:val="1"/>
          <w:bCs w:val="1"/>
          <w:color w:val="000000"/>
          <w:sz w:val="24"/>
          <w:szCs w:val="24"/>
          <w:rtl w:val="0"/>
        </w:rPr>
        <w:t xml:space="preserve">Executive Summary</w:t>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of the U.S. avocado market comparing Periods 1–12 of 2025 and 2026 (restricted strictly to "Total U.S.") reveals overall market growth driven by bagged packaging, widespread average selling price deflation, and a major shift in product mix toward larger fruit sizes.</w:t>
      </w:r>
    </w:p>
    <w:p w:rsidR="00000000" w:rsidDel="00000000" w:rsidP="00000000" w:rsidRDefault="00000000" w:rsidRPr="00000000" w14:paraId="00000008">
      <w:pPr>
        <w:pStyle w:val="Heading3"/>
        <w:keepNext w:val="0"/>
        <w:keepLines w:val="0"/>
        <w:spacing w:before="0" w:line="240" w:lineRule="auto"/>
        <w:rPr>
          <w:rFonts w:ascii="Times New Roman" w:cs="Times New Roman" w:eastAsia="Times New Roman" w:hAnsi="Times New Roman"/>
          <w:b w:val="1"/>
          <w:bCs w:val="1"/>
          <w:color w:val="000000"/>
          <w:sz w:val="24"/>
          <w:szCs w:val="24"/>
        </w:rPr>
      </w:pPr>
      <w:bookmarkStart w:colFirst="0" w:colLast="0" w:name="_wai1r69suy9v" w:id="1"/>
      <w:bookmarkEnd w:id="1"/>
      <w:r w:rsidDel="00000000" w:rsidR="00000000" w:rsidRPr="00000000">
        <w:rPr>
          <w:rFonts w:ascii="Times New Roman" w:cs="Times New Roman" w:eastAsia="Times New Roman" w:hAnsi="Times New Roman"/>
          <w:b w:val="1"/>
          <w:bCs w:val="1"/>
          <w:color w:val="000000"/>
          <w:sz w:val="24"/>
          <w:szCs w:val="24"/>
          <w:rtl w:val="0"/>
        </w:rPr>
        <w:t xml:space="preserve">Packaging Volume Analysis</w:t>
      </w:r>
    </w:p>
    <w:p w:rsidR="00000000" w:rsidDel="00000000" w:rsidP="00000000" w:rsidRDefault="00000000" w:rsidRPr="00000000" w14:paraId="0000000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Periods 1–12, total market volume grew by </w:t>
      </w:r>
      <w:r w:rsidDel="00000000" w:rsidR="00000000" w:rsidRPr="00000000">
        <w:rPr>
          <w:rFonts w:ascii="Times New Roman" w:cs="Times New Roman" w:eastAsia="Times New Roman" w:hAnsi="Times New Roman"/>
          <w:sz w:val="24"/>
          <w:szCs w:val="24"/>
          <w:highlight w:val="yellow"/>
          <w:rtl w:val="0"/>
        </w:rPr>
        <w:t xml:space="preserve">16.90%</w:t>
      </w:r>
      <w:r w:rsidDel="00000000" w:rsidR="00000000" w:rsidRPr="00000000">
        <w:rPr>
          <w:rFonts w:ascii="Times New Roman" w:cs="Times New Roman" w:eastAsia="Times New Roman" w:hAnsi="Times New Roman"/>
          <w:sz w:val="24"/>
          <w:szCs w:val="24"/>
          <w:rtl w:val="0"/>
        </w:rPr>
        <w:t xml:space="preserve">. Growth in bagged avocados (</w:t>
      </w:r>
      <w:r w:rsidDel="00000000" w:rsidR="00000000" w:rsidRPr="00000000">
        <w:rPr>
          <w:rFonts w:ascii="Times New Roman" w:cs="Times New Roman" w:eastAsia="Times New Roman" w:hAnsi="Times New Roman"/>
          <w:sz w:val="24"/>
          <w:szCs w:val="24"/>
          <w:highlight w:val="yellow"/>
          <w:rtl w:val="0"/>
        </w:rPr>
        <w:t xml:space="preserve">+23.86%</w:t>
      </w:r>
      <w:r w:rsidDel="00000000" w:rsidR="00000000" w:rsidRPr="00000000">
        <w:rPr>
          <w:rFonts w:ascii="Times New Roman" w:cs="Times New Roman" w:eastAsia="Times New Roman" w:hAnsi="Times New Roman"/>
          <w:sz w:val="24"/>
          <w:szCs w:val="24"/>
          <w:rtl w:val="0"/>
        </w:rPr>
        <w:t xml:space="preserve">) significantly outpaced bulk avocados (</w:t>
      </w:r>
      <w:r w:rsidDel="00000000" w:rsidR="00000000" w:rsidRPr="00000000">
        <w:rPr>
          <w:rFonts w:ascii="Times New Roman" w:cs="Times New Roman" w:eastAsia="Times New Roman" w:hAnsi="Times New Roman"/>
          <w:sz w:val="24"/>
          <w:szCs w:val="24"/>
          <w:highlight w:val="yellow"/>
          <w:rtl w:val="0"/>
        </w:rPr>
        <w:t xml:space="preserve">+11.92%</w:t>
      </w:r>
      <w:r w:rsidDel="00000000" w:rsidR="00000000" w:rsidRPr="00000000">
        <w:rPr>
          <w:rFonts w:ascii="Times New Roman" w:cs="Times New Roman" w:eastAsia="Times New Roman" w:hAnsi="Times New Roman"/>
          <w:sz w:val="24"/>
          <w:szCs w:val="24"/>
          <w:rtl w:val="0"/>
        </w:rPr>
        <w:t xml:space="preserve">), reflecting increased consumer demand for pre-packaged, multi-unit offerings.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010"/>
        <w:gridCol w:w="2010"/>
        <w:gridCol w:w="2220"/>
        <w:tblGridChange w:id="0">
          <w:tblGrid>
            <w:gridCol w:w="2505"/>
            <w:gridCol w:w="2010"/>
            <w:gridCol w:w="2010"/>
            <w:gridCol w:w="22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2025 (P1–P12)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2026 (P1–P12)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YoY Change (%)</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Bulk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411,256,136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460,270,786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+11.92%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Bagged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294,421,652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364,655,964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+23.86%</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Bulk and Bags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705,677,788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824,926,750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+16.90%</w:t>
            </w:r>
          </w:p>
        </w:tc>
      </w:tr>
    </w:tbl>
    <w:p w:rsidR="00000000" w:rsidDel="00000000" w:rsidP="00000000" w:rsidRDefault="00000000" w:rsidRPr="00000000" w14:paraId="0000001A">
      <w:pPr>
        <w:pStyle w:val="Heading3"/>
        <w:keepNext w:val="0"/>
        <w:keepLines w:val="0"/>
        <w:spacing w:before="0" w:line="240" w:lineRule="auto"/>
        <w:rPr>
          <w:rFonts w:ascii="Times New Roman" w:cs="Times New Roman" w:eastAsia="Times New Roman" w:hAnsi="Times New Roman"/>
          <w:b w:val="1"/>
          <w:bCs w:val="1"/>
          <w:color w:val="000000"/>
          <w:sz w:val="24"/>
          <w:szCs w:val="24"/>
        </w:rPr>
      </w:pPr>
      <w:bookmarkStart w:colFirst="0" w:colLast="0" w:name="_i5hvjtn65mpa" w:id="2"/>
      <w:bookmarkEnd w:id="2"/>
      <w:r w:rsidDel="00000000" w:rsidR="00000000" w:rsidRPr="00000000">
        <w:rPr>
          <w:rtl w:val="0"/>
        </w:rPr>
      </w:r>
    </w:p>
    <w:p w:rsidR="00000000" w:rsidDel="00000000" w:rsidP="00000000" w:rsidRDefault="00000000" w:rsidRPr="00000000" w14:paraId="0000001B">
      <w:pPr>
        <w:pStyle w:val="Heading3"/>
        <w:keepNext w:val="0"/>
        <w:keepLines w:val="0"/>
        <w:spacing w:before="0" w:line="240" w:lineRule="auto"/>
        <w:rPr>
          <w:rFonts w:ascii="Times New Roman" w:cs="Times New Roman" w:eastAsia="Times New Roman" w:hAnsi="Times New Roman"/>
          <w:b w:val="1"/>
          <w:bCs w:val="1"/>
          <w:color w:val="000000"/>
          <w:sz w:val="24"/>
          <w:szCs w:val="24"/>
        </w:rPr>
      </w:pPr>
      <w:bookmarkStart w:colFirst="0" w:colLast="0" w:name="_4skrpomy4cdq" w:id="3"/>
      <w:bookmarkEnd w:id="3"/>
      <w:r w:rsidDel="00000000" w:rsidR="00000000" w:rsidRPr="00000000">
        <w:rPr>
          <w:rtl w:val="0"/>
        </w:rPr>
      </w:r>
    </w:p>
    <w:p w:rsidR="00000000" w:rsidDel="00000000" w:rsidP="00000000" w:rsidRDefault="00000000" w:rsidRPr="00000000" w14:paraId="0000001C">
      <w:pPr>
        <w:pStyle w:val="Heading3"/>
        <w:keepNext w:val="0"/>
        <w:keepLines w:val="0"/>
        <w:spacing w:before="0" w:line="240" w:lineRule="auto"/>
        <w:rPr>
          <w:rFonts w:ascii="Times New Roman" w:cs="Times New Roman" w:eastAsia="Times New Roman" w:hAnsi="Times New Roman"/>
          <w:b w:val="1"/>
          <w:bCs w:val="1"/>
          <w:color w:val="000000"/>
          <w:sz w:val="24"/>
          <w:szCs w:val="24"/>
        </w:rPr>
      </w:pPr>
      <w:bookmarkStart w:colFirst="0" w:colLast="0" w:name="_w17v89ouwfqk" w:id="4"/>
      <w:bookmarkEnd w:id="4"/>
      <w:r w:rsidDel="00000000" w:rsidR="00000000" w:rsidRPr="00000000">
        <w:rPr>
          <w:rtl w:val="0"/>
        </w:rPr>
      </w:r>
    </w:p>
    <w:p w:rsidR="00000000" w:rsidDel="00000000" w:rsidP="00000000" w:rsidRDefault="00000000" w:rsidRPr="00000000" w14:paraId="0000001D">
      <w:pPr>
        <w:pStyle w:val="Heading3"/>
        <w:keepNext w:val="0"/>
        <w:keepLines w:val="0"/>
        <w:spacing w:before="0" w:line="240" w:lineRule="auto"/>
        <w:rPr>
          <w:rFonts w:ascii="Times New Roman" w:cs="Times New Roman" w:eastAsia="Times New Roman" w:hAnsi="Times New Roman"/>
          <w:b w:val="1"/>
          <w:bCs w:val="1"/>
          <w:color w:val="000000"/>
          <w:sz w:val="24"/>
          <w:szCs w:val="24"/>
        </w:rPr>
      </w:pPr>
      <w:bookmarkStart w:colFirst="0" w:colLast="0" w:name="_7v1br688btpq" w:id="5"/>
      <w:bookmarkEnd w:id="5"/>
      <w:r w:rsidDel="00000000" w:rsidR="00000000" w:rsidRPr="00000000">
        <w:rPr>
          <w:rFonts w:ascii="Times New Roman" w:cs="Times New Roman" w:eastAsia="Times New Roman" w:hAnsi="Times New Roman"/>
          <w:b w:val="1"/>
          <w:bCs w:val="1"/>
          <w:color w:val="000000"/>
          <w:sz w:val="24"/>
          <w:szCs w:val="24"/>
          <w:rtl w:val="0"/>
        </w:rPr>
        <w:t xml:space="preserve">Average Selling Price (ASP) Analysis</w:t>
      </w:r>
    </w:p>
    <w:p w:rsidR="00000000" w:rsidDel="00000000" w:rsidP="00000000" w:rsidRDefault="00000000" w:rsidRPr="00000000" w14:paraId="0000001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Selling Prices declined across the market in 2026. Conventional avocado prices dropped sharply by </w:t>
      </w:r>
      <w:r w:rsidDel="00000000" w:rsidR="00000000" w:rsidRPr="00000000">
        <w:rPr>
          <w:rFonts w:ascii="Times New Roman" w:cs="Times New Roman" w:eastAsia="Times New Roman" w:hAnsi="Times New Roman"/>
          <w:sz w:val="24"/>
          <w:szCs w:val="24"/>
          <w:highlight w:val="yellow"/>
          <w:rtl w:val="0"/>
        </w:rPr>
        <w:t xml:space="preserve">-24.37%</w:t>
      </w:r>
      <w:r w:rsidDel="00000000" w:rsidR="00000000" w:rsidRPr="00000000">
        <w:rPr>
          <w:rFonts w:ascii="Times New Roman" w:cs="Times New Roman" w:eastAsia="Times New Roman" w:hAnsi="Times New Roman"/>
          <w:sz w:val="24"/>
          <w:szCs w:val="24"/>
          <w:rtl w:val="0"/>
        </w:rPr>
        <w:t xml:space="preserve"> down to $0.92 per unit, stimulating total volume gains. Organic avocados were more price-resilient, decreasing by</w:t>
      </w:r>
      <w:r w:rsidDel="00000000" w:rsidR="00000000" w:rsidRPr="00000000">
        <w:rPr>
          <w:rFonts w:ascii="Times New Roman" w:cs="Times New Roman" w:eastAsia="Times New Roman" w:hAnsi="Times New Roman"/>
          <w:sz w:val="24"/>
          <w:szCs w:val="24"/>
          <w:highlight w:val="yellow"/>
          <w:rtl w:val="0"/>
        </w:rPr>
        <w:t xml:space="preserve"> -10.64%</w:t>
      </w:r>
      <w:r w:rsidDel="00000000" w:rsidR="00000000" w:rsidRPr="00000000">
        <w:rPr>
          <w:rFonts w:ascii="Times New Roman" w:cs="Times New Roman" w:eastAsia="Times New Roman" w:hAnsi="Times New Roman"/>
          <w:sz w:val="24"/>
          <w:szCs w:val="24"/>
          <w:rtl w:val="0"/>
        </w:rPr>
        <w:t xml:space="preserve"> to $1.53 per unit.</w:t>
      </w:r>
    </w:p>
    <w:tbl>
      <w:tblPr>
        <w:tblStyle w:val="Table2"/>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470"/>
        <w:gridCol w:w="1470"/>
        <w:gridCol w:w="2220"/>
        <w:tblGridChange w:id="0">
          <w:tblGrid>
            <w:gridCol w:w="1785"/>
            <w:gridCol w:w="1470"/>
            <w:gridCol w:w="1470"/>
            <w:gridCol w:w="22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2025 ASP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 ASP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YoY Change (%)</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-24.37%</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$1.71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10.64%</w:t>
            </w:r>
          </w:p>
        </w:tc>
      </w:tr>
    </w:tbl>
    <w:p w:rsidR="00000000" w:rsidDel="00000000" w:rsidP="00000000" w:rsidRDefault="00000000" w:rsidRPr="00000000" w14:paraId="0000002B">
      <w:pPr>
        <w:pStyle w:val="Heading3"/>
        <w:keepNext w:val="0"/>
        <w:keepLines w:val="0"/>
        <w:spacing w:before="0" w:line="240" w:lineRule="auto"/>
        <w:rPr>
          <w:rFonts w:ascii="Times New Roman" w:cs="Times New Roman" w:eastAsia="Times New Roman" w:hAnsi="Times New Roman"/>
          <w:b w:val="1"/>
          <w:bCs w:val="1"/>
          <w:color w:val="000000"/>
          <w:sz w:val="24"/>
          <w:szCs w:val="24"/>
        </w:rPr>
      </w:pPr>
      <w:bookmarkStart w:colFirst="0" w:colLast="0" w:name="_fv7vrcn1i9vt" w:id="6"/>
      <w:bookmarkEnd w:id="6"/>
      <w:r w:rsidDel="00000000" w:rsidR="00000000" w:rsidRPr="00000000">
        <w:rPr>
          <w:rtl w:val="0"/>
        </w:rPr>
      </w:r>
    </w:p>
    <w:p w:rsidR="00000000" w:rsidDel="00000000" w:rsidP="00000000" w:rsidRDefault="00000000" w:rsidRPr="00000000" w14:paraId="0000002C">
      <w:pPr>
        <w:pStyle w:val="Heading3"/>
        <w:keepNext w:val="0"/>
        <w:keepLines w:val="0"/>
        <w:spacing w:before="0" w:line="240" w:lineRule="auto"/>
        <w:rPr>
          <w:rFonts w:ascii="Times New Roman" w:cs="Times New Roman" w:eastAsia="Times New Roman" w:hAnsi="Times New Roman"/>
          <w:b w:val="1"/>
          <w:bCs w:val="1"/>
          <w:color w:val="000000"/>
          <w:sz w:val="24"/>
          <w:szCs w:val="24"/>
        </w:rPr>
      </w:pPr>
      <w:bookmarkStart w:colFirst="0" w:colLast="0" w:name="_262chpkbxbhe" w:id="7"/>
      <w:bookmarkEnd w:id="7"/>
      <w:r w:rsidDel="00000000" w:rsidR="00000000" w:rsidRPr="00000000">
        <w:rPr>
          <w:rFonts w:ascii="Times New Roman" w:cs="Times New Roman" w:eastAsia="Times New Roman" w:hAnsi="Times New Roman"/>
          <w:b w:val="1"/>
          <w:bCs w:val="1"/>
          <w:color w:val="000000"/>
          <w:sz w:val="24"/>
          <w:szCs w:val="24"/>
          <w:rtl w:val="0"/>
        </w:rPr>
        <w:t xml:space="preserve">PLU Size Distribution Analysis</w:t>
      </w:r>
    </w:p>
    <w:p w:rsidR="00000000" w:rsidDel="00000000" w:rsidP="00000000" w:rsidRDefault="00000000" w:rsidRPr="00000000" w14:paraId="0000002D">
      <w:pPr>
        <w:spacing w:after="24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Volume growth was heavily concentrated in larger fruit profiles. </w:t>
      </w:r>
      <w:r w:rsidDel="00000000" w:rsidR="00000000" w:rsidRPr="00000000">
        <w:rPr>
          <w:rFonts w:ascii="Times New Roman" w:cs="Times New Roman" w:eastAsia="Times New Roman" w:hAnsi="Times New Roman"/>
          <w:sz w:val="24"/>
          <w:szCs w:val="24"/>
          <w:highlight w:val="yellow"/>
          <w:rtl w:val="0"/>
        </w:rPr>
        <w:t xml:space="preserve">While small avocados (PLU 4046) remained essentially flat (+0.17%),</w:t>
      </w:r>
      <w:r w:rsidDel="00000000" w:rsidR="00000000" w:rsidRPr="00000000">
        <w:rPr>
          <w:rFonts w:ascii="Times New Roman" w:cs="Times New Roman" w:eastAsia="Times New Roman" w:hAnsi="Times New Roman"/>
          <w:sz w:val="24"/>
          <w:szCs w:val="24"/>
          <w:rtl w:val="0"/>
        </w:rPr>
        <w:t xml:space="preserve"> large (PLU 4225) surged by </w:t>
      </w:r>
      <w:r w:rsidDel="00000000" w:rsidR="00000000" w:rsidRPr="00000000">
        <w:rPr>
          <w:rFonts w:ascii="Times New Roman" w:cs="Times New Roman" w:eastAsia="Times New Roman" w:hAnsi="Times New Roman"/>
          <w:sz w:val="24"/>
          <w:szCs w:val="24"/>
          <w:highlight w:val="yellow"/>
          <w:rtl w:val="0"/>
        </w:rPr>
        <w:t xml:space="preserve">+50.10%</w:t>
      </w:r>
      <w:r w:rsidDel="00000000" w:rsidR="00000000" w:rsidRPr="00000000">
        <w:rPr>
          <w:rFonts w:ascii="Times New Roman" w:cs="Times New Roman" w:eastAsia="Times New Roman" w:hAnsi="Times New Roman"/>
          <w:sz w:val="24"/>
          <w:szCs w:val="24"/>
          <w:rtl w:val="0"/>
        </w:rPr>
        <w:t xml:space="preserve"> and extra-large (PLU 4770) grew by </w:t>
      </w:r>
      <w:r w:rsidDel="00000000" w:rsidR="00000000" w:rsidRPr="00000000">
        <w:rPr>
          <w:rFonts w:ascii="Times New Roman" w:cs="Times New Roman" w:eastAsia="Times New Roman" w:hAnsi="Times New Roman"/>
          <w:sz w:val="24"/>
          <w:szCs w:val="24"/>
          <w:highlight w:val="yellow"/>
          <w:rtl w:val="0"/>
        </w:rPr>
        <w:t xml:space="preserve">+170.45%.</w:t>
      </w:r>
    </w:p>
    <w:tbl>
      <w:tblPr>
        <w:tblStyle w:val="Table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010"/>
        <w:gridCol w:w="2010"/>
        <w:gridCol w:w="2220"/>
        <w:tblGridChange w:id="0">
          <w:tblGrid>
            <w:gridCol w:w="2385"/>
            <w:gridCol w:w="2010"/>
            <w:gridCol w:w="2010"/>
            <w:gridCol w:w="22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 Code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2025 (P1–P12)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 (P1–P12)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YoY Change (%)</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4046 (Small)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330,960,641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331,530,297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+0.17%</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4225 (Large)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73,469,417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110,279,556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+50.10%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4770 (Extra Large)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6,826,078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18,460,932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+170.45%</w:t>
            </w:r>
          </w:p>
        </w:tc>
      </w:tr>
    </w:tbl>
    <w:p w:rsidR="00000000" w:rsidDel="00000000" w:rsidP="00000000" w:rsidRDefault="00000000" w:rsidRPr="00000000" w14:paraId="0000003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aq8h7iixmhr2" w:id="8"/>
      <w:bookmarkEnd w:id="8"/>
      <w:r w:rsidDel="00000000" w:rsidR="00000000" w:rsidRPr="00000000">
        <w:rPr>
          <w:rtl w:val="0"/>
        </w:rPr>
      </w:r>
    </w:p>
    <w:p w:rsidR="00000000" w:rsidDel="00000000" w:rsidP="00000000" w:rsidRDefault="00000000" w:rsidRPr="00000000" w14:paraId="0000003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c4vbfz6d1diu" w:id="9"/>
      <w:bookmarkEnd w:id="9"/>
      <w:r w:rsidDel="00000000" w:rsidR="00000000" w:rsidRPr="00000000">
        <w:rPr>
          <w:rFonts w:ascii="Times New Roman" w:cs="Times New Roman" w:eastAsia="Times New Roman" w:hAnsi="Times New Roman"/>
          <w:b w:val="1"/>
          <w:bCs w:val="1"/>
          <w:color w:val="000000"/>
          <w:sz w:val="24"/>
          <w:szCs w:val="24"/>
          <w:rtl w:val="0"/>
        </w:rPr>
        <w:t xml:space="preserve">Conclusion &amp; Key Takeaways</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In summary, the 2026 U.S. avocado market through Period 12 was defined by supply-side expansion and strong price elasticity. Sharply lower conventional prices (down </w:t>
      </w:r>
      <w:r w:rsidDel="00000000" w:rsidR="00000000" w:rsidRPr="00000000">
        <w:rPr>
          <w:rFonts w:ascii="Times New Roman" w:cs="Times New Roman" w:eastAsia="Times New Roman" w:hAnsi="Times New Roman"/>
          <w:sz w:val="24"/>
          <w:szCs w:val="24"/>
          <w:highlight w:val="yellow"/>
          <w:rtl w:val="0"/>
        </w:rPr>
        <w:t xml:space="preserve">-24.37%</w:t>
      </w:r>
      <w:r w:rsidDel="00000000" w:rsidR="00000000" w:rsidRPr="00000000">
        <w:rPr>
          <w:rFonts w:ascii="Times New Roman" w:cs="Times New Roman" w:eastAsia="Times New Roman" w:hAnsi="Times New Roman"/>
          <w:sz w:val="24"/>
          <w:szCs w:val="24"/>
          <w:rtl w:val="0"/>
        </w:rPr>
        <w:t xml:space="preserve">) successfully stimulated consumer purchasing, pushing total volume over </w:t>
      </w:r>
      <w:r w:rsidDel="00000000" w:rsidR="00000000" w:rsidRPr="00000000">
        <w:rPr>
          <w:rFonts w:ascii="Times New Roman" w:cs="Times New Roman" w:eastAsia="Times New Roman" w:hAnsi="Times New Roman"/>
          <w:sz w:val="24"/>
          <w:szCs w:val="24"/>
          <w:highlight w:val="yellow"/>
          <w:rtl w:val="0"/>
        </w:rPr>
        <w:t xml:space="preserve">824 million units</w:t>
      </w:r>
      <w:r w:rsidDel="00000000" w:rsidR="00000000" w:rsidRPr="00000000">
        <w:rPr>
          <w:rFonts w:ascii="Times New Roman" w:cs="Times New Roman" w:eastAsia="Times New Roman" w:hAnsi="Times New Roman"/>
          <w:sz w:val="24"/>
          <w:szCs w:val="24"/>
          <w:rtl w:val="0"/>
        </w:rPr>
        <w:t xml:space="preserve">. Retailers and suppliers capitalized on this higher supply by driving bagged offerings and absorbing an influx of larger fruit harvests (PLUs 4225 and 4770). </w:t>
      </w:r>
      <w:r w:rsidDel="00000000" w:rsidR="00000000" w:rsidRPr="00000000">
        <w:rPr>
          <w:rFonts w:ascii="Times New Roman" w:cs="Times New Roman" w:eastAsia="Times New Roman" w:hAnsi="Times New Roman"/>
          <w:sz w:val="24"/>
          <w:szCs w:val="24"/>
          <w:highlight w:val="yellow"/>
          <w:rtl w:val="0"/>
        </w:rPr>
        <w:t xml:space="preserve">Going forward, key strategic opportunities lie in expanding bagged product lines and leveraging the relative price stability of organic avocados to maximize margin resilience.</w:t>
      </w:r>
    </w:p>
    <w:p w:rsidR="00000000" w:rsidDel="00000000" w:rsidP="00000000" w:rsidRDefault="00000000" w:rsidRPr="00000000" w14:paraId="0000004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