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 w:eastAsia="Aptos" w:cs="Aptos"/>
          <w:b/>
          <w:color w:val="17365D"/>
          <w:sz w:val="46"/>
        </w:rPr>
        <w:t>Plan de Comunicaciones del Proyecto</w:t>
      </w:r>
    </w:p>
    <w:p>
      <w:pPr>
        <w:jc w:val="center"/>
      </w:pPr>
      <w:r>
        <w:rPr>
          <w:rFonts w:ascii="Aptos" w:hAnsi="Aptos" w:eastAsia="Aptos" w:cs="Aptos"/>
          <w:b w:val="0"/>
          <w:color w:val="555555"/>
          <w:sz w:val="22"/>
        </w:rPr>
        <w:t>Signy – Plataforma móvil gamificada para el aprendizaje de Lengua de Señas Chilena (LSCh)</w:t>
      </w:r>
    </w:p>
    <w:p>
      <w:pPr>
        <w:jc w:val="center"/>
      </w:pPr>
      <w:r>
        <w:rPr>
          <w:rFonts w:ascii="Aptos" w:hAnsi="Aptos" w:eastAsia="Aptos" w:cs="Aptos"/>
          <w:b w:val="0"/>
          <w:color w:val="666666"/>
          <w:sz w:val="20"/>
        </w:rPr>
        <w:t>Fecha de preparación: 11/09/2026</w:t>
      </w:r>
    </w:p>
    <w:p/>
    <w:p>
      <w:pPr>
        <w:pStyle w:val="Heading1"/>
        <w:spacing w:before="160" w:after="80"/>
      </w:pPr>
      <w:r>
        <w:t>Información del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fill="D9EAF7"/>
          </w:tcPr>
          <w:p>
            <w:r>
              <w:rPr>
                <w:rFonts w:ascii="Aptos" w:hAnsi="Aptos" w:eastAsia="Aptos" w:cs="Aptos"/>
                <w:b/>
                <w:sz w:val="18"/>
              </w:rPr>
              <w:t>Empresa / Organización</w:t>
            </w:r>
          </w:p>
        </w:tc>
        <w:tc>
          <w:tcPr>
            <w:tcW w:type="dxa" w:w="6912"/>
          </w:tcPr>
          <w:p>
            <w:r>
              <w:rPr>
                <w:rFonts w:ascii="Aptos" w:hAnsi="Aptos" w:eastAsia="Aptos" w:cs="Aptos"/>
                <w:sz w:val="18"/>
              </w:rPr>
              <w:t>Equipo Signy – Ingeniería en Informática, Duoc UC</w:t>
            </w:r>
          </w:p>
        </w:tc>
      </w:tr>
      <w:tr>
        <w:tc>
          <w:tcPr>
            <w:tcW w:type="dxa" w:w="6912"/>
            <w:shd w:fill="D9EAF7"/>
          </w:tcPr>
          <w:p>
            <w:r>
              <w:rPr>
                <w:rFonts w:ascii="Aptos" w:hAnsi="Aptos" w:eastAsia="Aptos" w:cs="Aptos"/>
                <w:b/>
                <w:sz w:val="18"/>
              </w:rPr>
              <w:t>Proyecto</w:t>
            </w:r>
          </w:p>
        </w:tc>
        <w:tc>
          <w:tcPr>
            <w:tcW w:type="dxa" w:w="6912"/>
          </w:tcPr>
          <w:p>
            <w:r>
              <w:rPr>
                <w:rFonts w:ascii="Aptos" w:hAnsi="Aptos" w:eastAsia="Aptos" w:cs="Aptos"/>
                <w:sz w:val="18"/>
              </w:rPr>
              <w:t>Signy – Plataforma móvil gamificada para el aprendizaje de Lengua de Señas Chilena (LSCh)</w:t>
            </w:r>
          </w:p>
        </w:tc>
      </w:tr>
      <w:tr>
        <w:tc>
          <w:tcPr>
            <w:tcW w:type="dxa" w:w="6912"/>
            <w:shd w:fill="D9EAF7"/>
          </w:tcPr>
          <w:p>
            <w:r>
              <w:rPr>
                <w:rFonts w:ascii="Aptos" w:hAnsi="Aptos" w:eastAsia="Aptos" w:cs="Aptos"/>
                <w:b/>
                <w:sz w:val="18"/>
              </w:rPr>
              <w:t>Fecha de preparación</w:t>
            </w:r>
          </w:p>
        </w:tc>
        <w:tc>
          <w:tcPr>
            <w:tcW w:type="dxa" w:w="6912"/>
          </w:tcPr>
          <w:p>
            <w:r>
              <w:rPr>
                <w:rFonts w:ascii="Aptos" w:hAnsi="Aptos" w:eastAsia="Aptos" w:cs="Aptos"/>
                <w:sz w:val="18"/>
              </w:rPr>
              <w:t>11/09/2026</w:t>
            </w:r>
          </w:p>
        </w:tc>
      </w:tr>
      <w:tr>
        <w:tc>
          <w:tcPr>
            <w:tcW w:type="dxa" w:w="6912"/>
            <w:shd w:fill="D9EAF7"/>
          </w:tcPr>
          <w:p>
            <w:r>
              <w:rPr>
                <w:rFonts w:ascii="Aptos" w:hAnsi="Aptos" w:eastAsia="Aptos" w:cs="Aptos"/>
                <w:b/>
                <w:sz w:val="18"/>
              </w:rPr>
              <w:t>Cliente</w:t>
            </w:r>
          </w:p>
        </w:tc>
        <w:tc>
          <w:tcPr>
            <w:tcW w:type="dxa" w:w="6912"/>
          </w:tcPr>
          <w:p>
            <w:r>
              <w:rPr>
                <w:rFonts w:ascii="Aptos" w:hAnsi="Aptos" w:eastAsia="Aptos" w:cs="Aptos"/>
                <w:sz w:val="18"/>
              </w:rPr>
              <w:t>No existe cliente contractual. Proyecto académico orientado a personas oyentes interesadas en aprender LSCh.</w:t>
            </w:r>
          </w:p>
        </w:tc>
      </w:tr>
      <w:tr>
        <w:tc>
          <w:tcPr>
            <w:tcW w:type="dxa" w:w="6912"/>
            <w:shd w:fill="D9EAF7"/>
          </w:tcPr>
          <w:p>
            <w:r>
              <w:rPr>
                <w:rFonts w:ascii="Aptos" w:hAnsi="Aptos" w:eastAsia="Aptos" w:cs="Aptos"/>
                <w:b/>
                <w:sz w:val="18"/>
              </w:rPr>
              <w:t>Patrocinador principal</w:t>
            </w:r>
          </w:p>
        </w:tc>
        <w:tc>
          <w:tcPr>
            <w:tcW w:type="dxa" w:w="6912"/>
          </w:tcPr>
          <w:p>
            <w:r>
              <w:rPr>
                <w:rFonts w:ascii="Aptos" w:hAnsi="Aptos" w:eastAsia="Aptos" w:cs="Aptos"/>
                <w:sz w:val="18"/>
              </w:rPr>
              <w:t>Sin patrocinador financiero. Colaboración institucional no monetaria de DIDECO Huechuraba.</w:t>
            </w:r>
          </w:p>
        </w:tc>
      </w:tr>
      <w:tr>
        <w:tc>
          <w:tcPr>
            <w:tcW w:type="dxa" w:w="6912"/>
            <w:shd w:fill="D9EAF7"/>
          </w:tcPr>
          <w:p>
            <w:r>
              <w:rPr>
                <w:rFonts w:ascii="Aptos" w:hAnsi="Aptos" w:eastAsia="Aptos" w:cs="Aptos"/>
                <w:b/>
                <w:sz w:val="18"/>
              </w:rPr>
              <w:t>Gerente de Proyecto</w:t>
            </w:r>
          </w:p>
        </w:tc>
        <w:tc>
          <w:tcPr>
            <w:tcW w:type="dxa" w:w="6912"/>
          </w:tcPr>
          <w:p>
            <w:r>
              <w:rPr>
                <w:rFonts w:ascii="Aptos" w:hAnsi="Aptos" w:eastAsia="Aptos" w:cs="Aptos"/>
                <w:sz w:val="18"/>
              </w:rPr>
              <w:t>Fernanda Poblete – Gestión de Proyecto / Product Owner</w:t>
            </w:r>
          </w:p>
        </w:tc>
      </w:tr>
    </w:tbl>
    <w:p/>
    <w:p>
      <w:pPr>
        <w:pStyle w:val="Heading1"/>
        <w:spacing w:before="160" w:after="80"/>
      </w:pPr>
      <w:r>
        <w:t>Restricciones y Premisas</w:t>
      </w:r>
    </w:p>
    <w:p>
      <w:pPr>
        <w:pStyle w:val="ListBullet"/>
        <w:spacing w:after="40"/>
      </w:pPr>
      <w:r>
        <w:rPr>
          <w:rFonts w:ascii="Aptos" w:hAnsi="Aptos" w:eastAsia="Aptos" w:cs="Aptos"/>
          <w:sz w:val="20"/>
        </w:rPr>
        <w:t>El equipo tiene disponibilidad académica limitada y horarios variables.</w:t>
      </w:r>
    </w:p>
    <w:p>
      <w:pPr>
        <w:pStyle w:val="ListBullet"/>
        <w:spacing w:after="40"/>
      </w:pPr>
      <w:r>
        <w:rPr>
          <w:rFonts w:ascii="Aptos" w:hAnsi="Aptos" w:eastAsia="Aptos" w:cs="Aptos"/>
          <w:sz w:val="20"/>
        </w:rPr>
        <w:t>Las decisiones técnicas deben quedar trazables en repositorio/tablero; acuerdos relevantes no deben depender solo de conversaciones informales.</w:t>
      </w:r>
    </w:p>
    <w:p>
      <w:pPr>
        <w:pStyle w:val="ListBullet"/>
        <w:spacing w:after="40"/>
      </w:pPr>
      <w:r>
        <w:rPr>
          <w:rFonts w:ascii="Aptos" w:hAnsi="Aptos" w:eastAsia="Aptos" w:cs="Aptos"/>
          <w:sz w:val="20"/>
        </w:rPr>
        <w:t>DIDECO Huechuraba recibe información únicamente para coordinación y validación; no se le atribuye rol de cliente o sponsor.</w:t>
      </w:r>
    </w:p>
    <w:p>
      <w:pPr>
        <w:pStyle w:val="ListBullet"/>
        <w:spacing w:after="40"/>
      </w:pPr>
      <w:r>
        <w:rPr>
          <w:rFonts w:ascii="Aptos" w:hAnsi="Aptos" w:eastAsia="Aptos" w:cs="Aptos"/>
          <w:sz w:val="20"/>
        </w:rPr>
        <w:t>Datos personales de participantes de validación se comparten solo con quienes los necesiten.</w:t>
      </w:r>
    </w:p>
    <w:p>
      <w:pPr>
        <w:pStyle w:val="ListBullet"/>
        <w:spacing w:after="40"/>
      </w:pPr>
      <w:r>
        <w:rPr>
          <w:rFonts w:ascii="Aptos" w:hAnsi="Aptos" w:eastAsia="Aptos" w:cs="Aptos"/>
          <w:sz w:val="20"/>
        </w:rPr>
        <w:t>Las reuniones externas se coordinan con anticipación y respetando disponibilidad de participantes.</w:t>
      </w:r>
    </w:p>
    <w:p>
      <w:pPr>
        <w:pStyle w:val="Heading1"/>
        <w:spacing w:before="160" w:after="80"/>
      </w:pPr>
      <w:r>
        <w:t>Requisitos de Comunicaciones de los Interesados</w:t>
      </w:r>
    </w:p>
    <w:p>
      <w:pPr>
        <w:spacing w:after="100" w:line="252" w:lineRule="auto"/>
        <w:jc w:val="both"/>
      </w:pPr>
      <w:r>
        <w:rPr>
          <w:rFonts w:ascii="Aptos" w:hAnsi="Aptos" w:eastAsia="Aptos" w:cs="Aptos"/>
          <w:sz w:val="20"/>
        </w:rPr>
        <w:t>El equipo necesita información frecuente y operativa; el Product Owner requiere estado consolidado de alcance/costo/riesgo; el docente necesita avances y evidencias; DIDECO requiere objetivos, fechas y necesidades de convocatoria; participantes requieren instrucciones claras, consentimiento y canales de feedback.</w:t>
      </w:r>
    </w:p>
    <w:p>
      <w:pPr>
        <w:pStyle w:val="Heading1"/>
        <w:spacing w:before="160" w:after="80"/>
      </w:pPr>
      <w:r>
        <w:t>Tabla de Requerimientos de Comunicación del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36"/>
        <w:gridCol w:w="1536"/>
        <w:gridCol w:w="1536"/>
        <w:gridCol w:w="1536"/>
        <w:gridCol w:w="1536"/>
        <w:gridCol w:w="1536"/>
        <w:gridCol w:w="1536"/>
        <w:gridCol w:w="1536"/>
        <w:gridCol w:w="1536"/>
      </w:tblGrid>
      <w:tr>
        <w:trPr>
          <w:tblHeader w:val="true"/>
        </w:trPr>
        <w:tc>
          <w:tcPr>
            <w:tcW w:type="dxa" w:w="1800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2"/>
              </w:rPr>
              <w:t>Comunicación</w:t>
            </w:r>
          </w:p>
        </w:tc>
        <w:tc>
          <w:tcPr>
            <w:tcW w:type="dxa" w:w="2016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2"/>
              </w:rPr>
              <w:t>Objetivo</w:t>
            </w:r>
          </w:p>
        </w:tc>
        <w:tc>
          <w:tcPr>
            <w:tcW w:type="dxa" w:w="3168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2"/>
              </w:rPr>
              <w:t>Contenido</w:t>
            </w:r>
          </w:p>
        </w:tc>
        <w:tc>
          <w:tcPr>
            <w:tcW w:type="dxa" w:w="1440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2"/>
              </w:rPr>
              <w:t>Formato</w:t>
            </w:r>
          </w:p>
        </w:tc>
        <w:tc>
          <w:tcPr>
            <w:tcW w:type="dxa" w:w="1440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2"/>
              </w:rPr>
              <w:t>Medio</w:t>
            </w:r>
          </w:p>
        </w:tc>
        <w:tc>
          <w:tcPr>
            <w:tcW w:type="dxa" w:w="1440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2"/>
              </w:rPr>
              <w:t>Frecuencia</w:t>
            </w:r>
          </w:p>
        </w:tc>
        <w:tc>
          <w:tcPr>
            <w:tcW w:type="dxa" w:w="1152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2"/>
              </w:rPr>
              <w:t>Confirmación</w:t>
            </w:r>
          </w:p>
        </w:tc>
        <w:tc>
          <w:tcPr>
            <w:tcW w:type="dxa" w:w="1584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2"/>
              </w:rPr>
              <w:t>Responsable</w:t>
            </w:r>
          </w:p>
        </w:tc>
        <w:tc>
          <w:tcPr>
            <w:tcW w:type="dxa" w:w="2160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2"/>
              </w:rPr>
              <w:t>Audiencia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2"/>
              </w:rPr>
              <w:t>Daily / seguimiento del squad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2"/>
              </w:rPr>
              <w:t>Sincronizar avance y bloqueos</w:t>
            </w:r>
          </w:p>
        </w:tc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2"/>
              </w:rPr>
              <w:t>Hecho, siguiente acción, impedimentos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2"/>
              </w:rPr>
              <w:t>Reunión breve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2"/>
              </w:rPr>
              <w:t>Presencial/online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2"/>
              </w:rPr>
              <w:t>2–3 veces por semana</w:t>
            </w:r>
          </w:p>
        </w:tc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2"/>
              </w:rPr>
              <w:t>24 h</w:t>
            </w:r>
          </w:p>
        </w:tc>
        <w:tc>
          <w:tcPr>
            <w:tcW w:type="dxa" w:w="158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2"/>
              </w:rPr>
              <w:t>Scrum Master</w:t>
            </w:r>
          </w:p>
        </w:tc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2"/>
              </w:rPr>
              <w:t>Squad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2"/>
              </w:rPr>
              <w:t>Sprint Planning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2"/>
              </w:rPr>
              <w:t>Definir Sprint Goal y trabajo</w:t>
            </w:r>
          </w:p>
        </w:tc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2"/>
              </w:rPr>
              <w:t>Historias, tareas, capacidad, criterios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2"/>
              </w:rPr>
              <w:t>Reunión + tablero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2"/>
              </w:rPr>
              <w:t>Jira/Trello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2"/>
              </w:rPr>
              <w:t>Inicio de Sprint</w:t>
            </w:r>
          </w:p>
        </w:tc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2"/>
              </w:rPr>
              <w:t>Mismo día</w:t>
            </w:r>
          </w:p>
        </w:tc>
        <w:tc>
          <w:tcPr>
            <w:tcW w:type="dxa" w:w="158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2"/>
              </w:rPr>
              <w:t>Product Owner + SM</w:t>
            </w:r>
          </w:p>
        </w:tc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2"/>
              </w:rPr>
              <w:t>Squad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2"/>
              </w:rPr>
              <w:t>Estado semanal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2"/>
              </w:rPr>
              <w:t>Controlar proyecto</w:t>
            </w:r>
          </w:p>
        </w:tc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2"/>
              </w:rPr>
              <w:t>Avance, riesgos, costos, cambios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2"/>
              </w:rPr>
              <w:t>Resumen escrito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2"/>
              </w:rPr>
              <w:t>Tablero + repositorio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2"/>
              </w:rPr>
              <w:t>Semanal</w:t>
            </w:r>
          </w:p>
        </w:tc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2"/>
              </w:rPr>
              <w:t>48 h</w:t>
            </w:r>
          </w:p>
        </w:tc>
        <w:tc>
          <w:tcPr>
            <w:tcW w:type="dxa" w:w="158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2"/>
              </w:rPr>
              <w:t>Product Owner</w:t>
            </w:r>
          </w:p>
        </w:tc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2"/>
              </w:rPr>
              <w:t>Squad / docente si aplica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2"/>
              </w:rPr>
              <w:t>Sprint Review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2"/>
              </w:rPr>
              <w:t>Validar incremento</w:t>
            </w:r>
          </w:p>
        </w:tc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2"/>
              </w:rPr>
              <w:t>Demo, historias aceptadas, pendientes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2"/>
              </w:rPr>
              <w:t>Reunión + demo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2"/>
              </w:rPr>
              <w:t>Presencial/online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2"/>
              </w:rPr>
              <w:t>Fin de Sprint</w:t>
            </w:r>
          </w:p>
        </w:tc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2"/>
              </w:rPr>
              <w:t>Mismo día</w:t>
            </w:r>
          </w:p>
        </w:tc>
        <w:tc>
          <w:tcPr>
            <w:tcW w:type="dxa" w:w="158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2"/>
              </w:rPr>
              <w:t>Product Owner</w:t>
            </w:r>
          </w:p>
        </w:tc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2"/>
              </w:rPr>
              <w:t>Equipo / docente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2"/>
              </w:rPr>
              <w:t>Retrospective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2"/>
              </w:rPr>
              <w:t>Mejora continua</w:t>
            </w:r>
          </w:p>
        </w:tc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2"/>
              </w:rPr>
              <w:t>Qué funcionó, problemas, acciones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2"/>
              </w:rPr>
              <w:t>Reunión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2"/>
              </w:rPr>
              <w:t>Interna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2"/>
              </w:rPr>
              <w:t>Fin de Sprint</w:t>
            </w:r>
          </w:p>
        </w:tc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2"/>
              </w:rPr>
              <w:t>No aplica</w:t>
            </w:r>
          </w:p>
        </w:tc>
        <w:tc>
          <w:tcPr>
            <w:tcW w:type="dxa" w:w="158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2"/>
              </w:rPr>
              <w:t>Scrum Master</w:t>
            </w:r>
          </w:p>
        </w:tc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2"/>
              </w:rPr>
              <w:t>Squad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2"/>
              </w:rPr>
              <w:t>Coordinación de validación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2"/>
              </w:rPr>
              <w:t>Acordar sesiones con usuarios</w:t>
            </w:r>
          </w:p>
        </w:tc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2"/>
              </w:rPr>
              <w:t>Objetivo, perfil, fecha, duración, condiciones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2"/>
              </w:rPr>
              <w:t>Correo/reunión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2"/>
              </w:rPr>
              <w:t>Canal institucional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2"/>
              </w:rPr>
              <w:t>Según necesidad</w:t>
            </w:r>
          </w:p>
        </w:tc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2"/>
              </w:rPr>
              <w:t>3 días</w:t>
            </w:r>
          </w:p>
        </w:tc>
        <w:tc>
          <w:tcPr>
            <w:tcW w:type="dxa" w:w="158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2"/>
              </w:rPr>
              <w:t>Product Owner</w:t>
            </w:r>
          </w:p>
        </w:tc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2"/>
              </w:rPr>
              <w:t>Oficina de Inclusión Social para Personas con Discapacidad, Dirección de Desarrollo Comunitario (DIDECO) de Huechuraba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2"/>
              </w:rPr>
              <w:t>Sesión con participantes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2"/>
              </w:rPr>
              <w:t>Obtener feedback</w:t>
            </w:r>
          </w:p>
        </w:tc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2"/>
              </w:rPr>
              <w:t>Tareas de prueba, observaciones, consentimiento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2"/>
              </w:rPr>
              <w:t>Presencial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2"/>
              </w:rPr>
              <w:t>Sesión guiada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2"/>
              </w:rPr>
              <w:t>Sprint 5</w:t>
            </w:r>
          </w:p>
        </w:tc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2"/>
              </w:rPr>
              <w:t>Mismo día</w:t>
            </w:r>
          </w:p>
        </w:tc>
        <w:tc>
          <w:tcPr>
            <w:tcW w:type="dxa" w:w="158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2"/>
              </w:rPr>
              <w:t>Equipo asignado</w:t>
            </w:r>
          </w:p>
        </w:tc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2"/>
              </w:rPr>
              <w:t>Personas sordas participantes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2"/>
              </w:rPr>
              <w:t>Cambio de alcance</w:t>
            </w:r>
          </w:p>
        </w:tc>
        <w:tc>
          <w:tcPr>
            <w:tcW w:type="dxa" w:w="2016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2"/>
              </w:rPr>
              <w:t>Decidir solicitud</w:t>
            </w:r>
          </w:p>
        </w:tc>
        <w:tc>
          <w:tcPr>
            <w:tcW w:type="dxa" w:w="316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2"/>
              </w:rPr>
              <w:t>Motivo, impacto, decisión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2"/>
              </w:rPr>
              <w:t>RFC / registro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2"/>
              </w:rPr>
              <w:t>Documento compartido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2"/>
              </w:rPr>
              <w:t>Cuando ocurra</w:t>
            </w:r>
          </w:p>
        </w:tc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2"/>
              </w:rPr>
              <w:t>2 días</w:t>
            </w:r>
          </w:p>
        </w:tc>
        <w:tc>
          <w:tcPr>
            <w:tcW w:type="dxa" w:w="158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2"/>
              </w:rPr>
              <w:t>Product Owner</w:t>
            </w:r>
          </w:p>
        </w:tc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2"/>
              </w:rPr>
              <w:t>Squad / docente si crítico</w:t>
            </w:r>
          </w:p>
        </w:tc>
      </w:tr>
    </w:tbl>
    <w:p/>
    <w:p>
      <w:pPr>
        <w:pStyle w:val="Heading1"/>
        <w:spacing w:before="160" w:after="80"/>
      </w:pPr>
      <w:r>
        <w:t>Recursos asignados a actividades de comunicaciones</w:t>
      </w:r>
    </w:p>
    <w:p>
      <w:pPr>
        <w:pStyle w:val="ListBullet"/>
        <w:spacing w:after="40"/>
      </w:pPr>
      <w:r>
        <w:rPr>
          <w:rFonts w:ascii="Aptos" w:hAnsi="Aptos" w:eastAsia="Aptos" w:cs="Aptos"/>
          <w:sz w:val="20"/>
        </w:rPr>
        <w:t>Jira o Trello para tablero y seguimiento.</w:t>
      </w:r>
    </w:p>
    <w:p>
      <w:pPr>
        <w:pStyle w:val="ListBullet"/>
        <w:spacing w:after="40"/>
      </w:pPr>
      <w:r>
        <w:rPr>
          <w:rFonts w:ascii="Aptos" w:hAnsi="Aptos" w:eastAsia="Aptos" w:cs="Aptos"/>
          <w:sz w:val="20"/>
        </w:rPr>
        <w:t>GitHub para código, issues, commits y evidencia técnica.</w:t>
      </w:r>
    </w:p>
    <w:p>
      <w:pPr>
        <w:pStyle w:val="ListBullet"/>
        <w:spacing w:after="40"/>
      </w:pPr>
      <w:r>
        <w:rPr>
          <w:rFonts w:ascii="Aptos" w:hAnsi="Aptos" w:eastAsia="Aptos" w:cs="Aptos"/>
          <w:sz w:val="20"/>
        </w:rPr>
        <w:t>Correo institucional para comunicaciones formales.</w:t>
      </w:r>
    </w:p>
    <w:p>
      <w:pPr>
        <w:pStyle w:val="ListBullet"/>
        <w:spacing w:after="40"/>
      </w:pPr>
      <w:r>
        <w:rPr>
          <w:rFonts w:ascii="Aptos" w:hAnsi="Aptos" w:eastAsia="Aptos" w:cs="Aptos"/>
          <w:sz w:val="20"/>
        </w:rPr>
        <w:t>Reuniones presenciales o videollamada para ceremonias y coordinación externa.</w:t>
      </w:r>
    </w:p>
    <w:p>
      <w:pPr>
        <w:pStyle w:val="ListBullet"/>
        <w:spacing w:after="40"/>
      </w:pPr>
      <w:r>
        <w:rPr>
          <w:rFonts w:ascii="Aptos" w:hAnsi="Aptos" w:eastAsia="Aptos" w:cs="Aptos"/>
          <w:sz w:val="20"/>
        </w:rPr>
        <w:t>Documentos compartidos para actas, riesgos, cambios y validación.</w:t>
      </w:r>
    </w:p>
    <w:p>
      <w:pPr>
        <w:pStyle w:val="Heading1"/>
        <w:spacing w:before="160" w:after="80"/>
      </w:pPr>
      <w:r>
        <w:t>Proceso de Escalamiento</w:t>
      </w:r>
    </w:p>
    <w:p>
      <w:pPr>
        <w:spacing w:after="100" w:line="252" w:lineRule="auto"/>
        <w:jc w:val="both"/>
      </w:pPr>
      <w:r>
        <w:rPr>
          <w:rFonts w:ascii="Aptos" w:hAnsi="Aptos" w:eastAsia="Aptos" w:cs="Aptos"/>
          <w:sz w:val="20"/>
        </w:rPr>
        <w:t>Nivel 1: integrante responsable intenta resolver el asunto con el squad. Nivel 2: Scrum Master facilita resolución técnica/operativa. Nivel 3: Product Owner decide prioridad/alcance. Nivel 4: si compromete fecha, evaluación académica o acuerdo externo, se escala al docente guía. Para coordinación con personas sordas, el contacto externo se canaliza a través de la contraparte acordada en DIDECO Huechuraba.</w:t>
      </w:r>
    </w:p>
    <w:p>
      <w:pPr>
        <w:pStyle w:val="Heading1"/>
        <w:spacing w:before="160" w:after="80"/>
      </w:pPr>
      <w:r>
        <w:t>Diagrama de Flujo de Información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046720" cy="335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_comunicacion_sign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60" w:after="80"/>
      </w:pPr>
      <w:r>
        <w:t>De la Actualización y Refinación del Plan de Comunicaciones</w:t>
      </w:r>
    </w:p>
    <w:p>
      <w:pPr>
        <w:spacing w:after="100" w:line="252" w:lineRule="auto"/>
        <w:jc w:val="both"/>
      </w:pPr>
      <w:r>
        <w:rPr>
          <w:rFonts w:ascii="Aptos" w:hAnsi="Aptos" w:eastAsia="Aptos" w:cs="Aptos"/>
          <w:sz w:val="20"/>
        </w:rPr>
        <w:t>El plan se revisa al inicio de cada Sprint y cuando cambian interesados, canales, disponibilidad o necesidades de validación. Todo cambio que afecte compromisos externos debe quedar registrado. La lista de contactos se mantiene fuera de documentos públicos si contiene datos personales.</w:t>
      </w:r>
    </w:p>
    <w:p>
      <w:pPr>
        <w:pStyle w:val="Heading1"/>
        <w:spacing w:before="160" w:after="80"/>
      </w:pPr>
      <w:r>
        <w:t>Glosario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6912"/>
      </w:tblGrid>
      <w:tr>
        <w:trPr>
          <w:tblHeader w:val="true"/>
        </w:trPr>
        <w:tc>
          <w:tcPr>
            <w:tcW w:type="dxa" w:w="2304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6"/>
              </w:rPr>
              <w:t>Término</w:t>
            </w:r>
          </w:p>
        </w:tc>
        <w:tc>
          <w:tcPr>
            <w:tcW w:type="dxa" w:w="8208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Aptos" w:cs="Aptos"/>
                <w:b/>
                <w:color w:val="FFFFFF"/>
                <w:sz w:val="16"/>
              </w:rPr>
              <w:t>Definición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PO</w:t>
            </w:r>
          </w:p>
        </w:tc>
        <w:tc>
          <w:tcPr>
            <w:tcW w:type="dxa" w:w="820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Product Owner.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SM</w:t>
            </w:r>
          </w:p>
        </w:tc>
        <w:tc>
          <w:tcPr>
            <w:tcW w:type="dxa" w:w="820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Scrum Master.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Daily</w:t>
            </w:r>
          </w:p>
        </w:tc>
        <w:tc>
          <w:tcPr>
            <w:tcW w:type="dxa" w:w="820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Reunión breve de sincronización.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Sprint Review</w:t>
            </w:r>
          </w:p>
        </w:tc>
        <w:tc>
          <w:tcPr>
            <w:tcW w:type="dxa" w:w="820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Revisión del incremento.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DIDECO</w:t>
            </w:r>
          </w:p>
        </w:tc>
        <w:tc>
          <w:tcPr>
            <w:tcW w:type="dxa" w:w="820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Dirección de Desarrollo Comunitario.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RFC</w:t>
            </w:r>
          </w:p>
        </w:tc>
        <w:tc>
          <w:tcPr>
            <w:tcW w:type="dxa" w:w="8208"/>
            <w:vAlign w:val="top"/>
          </w:tcPr>
          <w:p>
            <w:pPr>
              <w:spacing w:after="20"/>
            </w:pPr>
            <w:r>
              <w:rPr>
                <w:rFonts w:ascii="Aptos" w:hAnsi="Aptos" w:eastAsia="Aptos" w:cs="Aptos"/>
                <w:sz w:val="16"/>
              </w:rPr>
              <w:t>Solicitud formal de cambio.</w:t>
            </w:r>
          </w:p>
        </w:tc>
      </w:tr>
    </w:tbl>
    <w:p/>
    <w:p>
      <w:pPr>
        <w:pStyle w:val="Heading1"/>
        <w:spacing w:before="160" w:after="80"/>
      </w:pPr>
      <w:r>
        <w:t>Anexos</w:t>
      </w:r>
    </w:p>
    <w:p>
      <w:pPr>
        <w:pStyle w:val="ListBullet"/>
        <w:spacing w:after="40"/>
      </w:pPr>
      <w:r>
        <w:rPr>
          <w:rFonts w:ascii="Aptos" w:hAnsi="Aptos" w:eastAsia="Aptos" w:cs="Aptos"/>
          <w:sz w:val="20"/>
        </w:rPr>
        <w:t>Plantilla de reporte de avance.</w:t>
      </w:r>
    </w:p>
    <w:p>
      <w:pPr>
        <w:pStyle w:val="ListBullet"/>
        <w:spacing w:after="40"/>
      </w:pPr>
      <w:r>
        <w:rPr>
          <w:rFonts w:ascii="Aptos" w:hAnsi="Aptos" w:eastAsia="Aptos" w:cs="Aptos"/>
          <w:sz w:val="20"/>
        </w:rPr>
        <w:t>Registro de cambios.</w:t>
      </w:r>
    </w:p>
    <w:p>
      <w:pPr>
        <w:pStyle w:val="ListBullet"/>
        <w:spacing w:after="40"/>
      </w:pPr>
      <w:r>
        <w:rPr>
          <w:rFonts w:ascii="Aptos" w:hAnsi="Aptos" w:eastAsia="Aptos" w:cs="Aptos"/>
          <w:sz w:val="20"/>
        </w:rPr>
        <w:t>Registro de riesgos.</w:t>
      </w:r>
    </w:p>
    <w:p>
      <w:pPr>
        <w:pStyle w:val="ListBullet"/>
        <w:spacing w:after="40"/>
      </w:pPr>
      <w:r>
        <w:rPr>
          <w:rFonts w:ascii="Aptos" w:hAnsi="Aptos" w:eastAsia="Aptos" w:cs="Aptos"/>
          <w:sz w:val="20"/>
        </w:rPr>
        <w:t>Acta o pauta de sesión de validación.</w:t>
      </w:r>
    </w:p>
    <w:p>
      <w:pPr>
        <w:pStyle w:val="ListBullet"/>
        <w:spacing w:after="40"/>
      </w:pPr>
      <w:r>
        <w:rPr>
          <w:rFonts w:ascii="Aptos" w:hAnsi="Aptos" w:eastAsia="Aptos" w:cs="Aptos"/>
          <w:sz w:val="20"/>
        </w:rPr>
        <w:t>Matriz RACI e interesados.</w:t>
      </w:r>
    </w:p>
    <w:sectPr w:rsidR="00FC693F" w:rsidRPr="0006063C" w:rsidSect="00034616">
      <w:footerReference w:type="default" r:id="rId9"/>
      <w:pgSz w:w="15840" w:h="12240" w:orient="landscape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 w:cs="Aptos"/>
        <w:b w:val="0"/>
        <w:color w:val="777777"/>
        <w:sz w:val="16"/>
      </w:rPr>
      <w:t>Signy | Proyecto académico Duoc UC |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