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 w:cs="Aptos"/>
          <w:b/>
          <w:color w:val="17365D"/>
          <w:sz w:val="46"/>
        </w:rPr>
        <w:t>Plan de Dirección del Proyecto</w:t>
      </w:r>
    </w:p>
    <w:p>
      <w:pPr>
        <w:jc w:val="center"/>
      </w:pPr>
      <w:r>
        <w:rPr>
          <w:rFonts w:ascii="Aptos" w:hAnsi="Aptos" w:eastAsia="Aptos" w:cs="Aptos"/>
          <w:b w:val="0"/>
          <w:color w:val="555555"/>
          <w:sz w:val="22"/>
        </w:rPr>
        <w:t>Signy – Plataforma móvil gamificada para el aprendizaje de Lengua de Señas Chilena (LSCh)</w:t>
      </w:r>
    </w:p>
    <w:p>
      <w:pPr>
        <w:jc w:val="center"/>
      </w:pPr>
      <w:r>
        <w:rPr>
          <w:rFonts w:ascii="Aptos" w:hAnsi="Aptos" w:eastAsia="Aptos" w:cs="Aptos"/>
          <w:b w:val="0"/>
          <w:color w:val="666666"/>
          <w:sz w:val="20"/>
        </w:rPr>
        <w:t>Fecha de preparación: 11/09/2026</w:t>
      </w:r>
    </w:p>
    <w:p/>
    <w:p>
      <w:pPr>
        <w:pStyle w:val="Heading1"/>
        <w:spacing w:before="160" w:after="80"/>
      </w:pPr>
      <w:r>
        <w:t>Información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Empresa / Organización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Equipo Signy – Ingeniería en Informática, Duoc UC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Proyecto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Signy – Plataforma móvil gamificada para el aprendizaje de Lengua de Señas Chilena (LSCh)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Fecha de preparación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11/09/2026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Cliente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No existe cliente contractual. Proyecto académico orientado a personas oyentes interesadas en aprender LSCh.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Patrocinador principal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Sin patrocinador financiero. Colaboración institucional no monetaria de DIDECO Huechuraba.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Gerente de Proyecto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Fernanda Poblete – Gestión de Proyecto / Product Owner</w:t>
            </w:r>
          </w:p>
        </w:tc>
      </w:tr>
    </w:tbl>
    <w:p/>
    <w:p>
      <w:pPr>
        <w:pStyle w:val="Heading1"/>
        <w:spacing w:before="160" w:after="80"/>
      </w:pPr>
      <w:r>
        <w:t>Aprobaciones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518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Nombre / Cargo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Fernanda Poblete – Product Owner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11/09/2026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Aprobación interna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Catalina Gutiérrez – Scrum Master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11/09/2026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Aprobación interna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Docente guía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Por confirmar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Revisión académica</w:t>
            </w:r>
          </w:p>
        </w:tc>
      </w:tr>
    </w:tbl>
    <w:p/>
    <w:p>
      <w:pPr>
        <w:pStyle w:val="Heading1"/>
        <w:spacing w:before="160" w:after="80"/>
      </w:pPr>
      <w:r>
        <w:t>Introducción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Este Plan de Dirección integra las líneas base y planes subsidiarios necesarios para gestionar Signy. La estrategia combina prácticas de dirección de proyectos con Scrum para controlar alcance, cronograma, costos, calidad, recursos, comunicaciones, riesgos, adquisiciones, interesados, cambios y configuración. El proyecto se desarrolla en contexto académico, sin cliente contractual ni patrocinio financiero, y cuenta con colaboración no monetaria de DIDECO Huechuraba para facilitar contacto con personas sordas durante validaciones.</w:t>
      </w:r>
    </w:p>
    <w:p>
      <w:pPr>
        <w:pStyle w:val="Heading1"/>
        <w:spacing w:before="160" w:after="80"/>
      </w:pPr>
      <w:r>
        <w:t>Planes de gestión de proyecto subsidiarios</w:t>
      </w:r>
    </w:p>
    <w:p>
      <w:pPr>
        <w:pStyle w:val="Heading2"/>
        <w:spacing w:before="160" w:after="80"/>
      </w:pPr>
      <w:r>
        <w:t>Plan de gestión del alcance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El alcance se define a partir del Product Goal, 20 historias de usuario priorizadas, requerimientos funcionales/no funcionales y EDT. El Product Owner mantiene la línea base y cualquier ampliación debe pasar por control de cambios. Se excluyen iOS, publicación comercial, monetización y certificación lingüística completa durante la Fase 2.</w:t>
      </w:r>
    </w:p>
    <w:p>
      <w:pPr>
        <w:pStyle w:val="Heading2"/>
        <w:spacing w:before="160" w:after="80"/>
      </w:pPr>
      <w:r>
        <w:t>Plan de gestión de requerimientos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Los requerimientos se identifican con códigos RF/RNF, se vinculan con historias de usuario y criterios de aceptación y se priorizan por valor, dependencia, riesgo y esfuerzo. Los cambios deben registrar solicitante, justificación, impacto y decisión.</w:t>
      </w:r>
    </w:p>
    <w:p>
      <w:pPr>
        <w:pStyle w:val="Heading2"/>
        <w:spacing w:before="160" w:after="80"/>
      </w:pPr>
      <w:r>
        <w:t>Plan de gestión del cronograma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Horizonte de 18 semanas, organizado en 5 Sprints. El seguimiento se realiza mediante tablero Scrum, hitos, revisiones de Sprint y actualización de tareas. Desviaciones superiores a una semana en un hito crítico requieren replanificación.</w:t>
      </w:r>
    </w:p>
    <w:p>
      <w:pPr>
        <w:pStyle w:val="Heading2"/>
        <w:spacing w:before="160" w:after="80"/>
      </w:pPr>
      <w:r>
        <w:t>Plan de gestión de costos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Línea base económica Año 1: $3,777,450 CLP. Se distingue costo de oportunidad del equipo ($3,216,372) y desembolso directo ($561,078). Los costos reales solo se registrarán cuando exista evidencia; el forecast se actualiza ante cambios aprobados.</w:t>
      </w:r>
    </w:p>
    <w:p>
      <w:pPr>
        <w:pStyle w:val="Heading2"/>
        <w:spacing w:before="160" w:after="80"/>
      </w:pPr>
      <w:r>
        <w:t>Plan de gestión de calidad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Se aplican criterios de aceptación por historia, pruebas funcionales de flujos críticos, revisión de seguridad/RLS, compatibilidad Android, rendimiento multimedia y validación progresiva de MediaPipe. Defectos críticos bloquean una entrega.</w:t>
      </w:r>
    </w:p>
    <w:p>
      <w:pPr>
        <w:pStyle w:val="Heading2"/>
        <w:spacing w:before="160" w:after="80"/>
      </w:pPr>
      <w:r>
        <w:t>Plan de gestión de recursos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Equipo de 4 integrantes: Fernanda (Product Owner/Gestión), Catalina (Scrum Master/Development Team), Benjamín y Michael (Development Team). Se utilizan recursos personales e institucionales sin compra de hardware para el alcance base.</w:t>
      </w:r>
    </w:p>
    <w:p>
      <w:pPr>
        <w:pStyle w:val="Heading2"/>
        <w:spacing w:before="160" w:after="80"/>
      </w:pPr>
      <w:r>
        <w:t>Plan de gestión de comunicaciones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Daily/seguimiento breve del equipo, revisión semanal del avance, Sprint Review/Retrospective, tablero y repositorio actualizados. DIDECO y usuarios externos reciben solo información necesaria para coordinar validaciones.</w:t>
      </w:r>
    </w:p>
    <w:p>
      <w:pPr>
        <w:pStyle w:val="Heading2"/>
        <w:spacing w:before="160" w:after="80"/>
      </w:pPr>
      <w:r>
        <w:t>Plan de gestión de riesgos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Riesgos principales: reconocimiento MediaPipe, validación LSCh, tiempo académico, dependencia de servicios cloud, compatibilidad Android, alcance y disponibilidad de participantes. Cada riesgo posee responsable y respuesta.</w:t>
      </w:r>
    </w:p>
    <w:p>
      <w:pPr>
        <w:pStyle w:val="Heading2"/>
        <w:spacing w:before="160" w:after="80"/>
      </w:pPr>
      <w:r>
        <w:t>Plan de gestión de adquisiciones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Adquisiciones base: Supabase Pro, dominio .CL, apoyo profesional LSCh, incentivos y logística de validación. Herramientas open source/gratuitas se registran con costo $0. Google Play, marca, GitHub Team y Figma Pro quedan como costos futuros/opcionales.</w:t>
      </w:r>
    </w:p>
    <w:p>
      <w:pPr>
        <w:pStyle w:val="Heading2"/>
        <w:spacing w:before="160" w:after="80"/>
      </w:pPr>
      <w:r>
        <w:t>Plan de gestión de interesados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Se gestionan equipo, docente, DIDECO Huechuraba, personas sordas participantes y usuarios objetivo según influencia/interés. La colaboración municipal se considera apoyo no monetario, no patrocinio.</w:t>
      </w:r>
    </w:p>
    <w:p>
      <w:pPr>
        <w:pStyle w:val="Heading1"/>
        <w:spacing w:before="160" w:after="80"/>
      </w:pPr>
      <w:r>
        <w:t>Líneas base del proyecto</w:t>
      </w:r>
    </w:p>
    <w:p>
      <w:pPr>
        <w:pStyle w:val="Heading2"/>
        <w:spacing w:before="160" w:after="80"/>
      </w:pPr>
      <w:r>
        <w:t>Línea base de alcance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Producto móvil Android con autenticación, ruta de aprendizaje, ejercicios, gamificación, perfil/comunidad, administración, persistencia Supabase, caché multimedia y prototipo de práctica con cámara/MediaPipe. Fuera de alcance: iOS, publicación oficial en tiendas, monetización, soporte 24/7 y certificación lingüística total del contenido.</w:t>
      </w:r>
    </w:p>
    <w:p>
      <w:pPr>
        <w:pStyle w:val="Heading2"/>
        <w:spacing w:before="160" w:after="80"/>
      </w:pPr>
      <w:r>
        <w:t>Línea base de cronograma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Sprint/Hito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Periodo planificado</w:t>
            </w:r>
          </w:p>
        </w:tc>
        <w:tc>
          <w:tcPr>
            <w:tcW w:type="dxa" w:w="590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Sprint 1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13/08–30/08</w:t>
            </w:r>
          </w:p>
        </w:tc>
        <w:tc>
          <w:tcPr>
            <w:tcW w:type="dxa" w:w="59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Base, seguridad y datos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Sprint 2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31/08–20/09</w:t>
            </w:r>
          </w:p>
        </w:tc>
        <w:tc>
          <w:tcPr>
            <w:tcW w:type="dxa" w:w="59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Aprendizaje principal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Sprint 3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21/09–18/10</w:t>
            </w:r>
          </w:p>
        </w:tc>
        <w:tc>
          <w:tcPr>
            <w:tcW w:type="dxa" w:w="59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Gamificación, perfil, administración y optimización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Sprint 4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19/10–15/11</w:t>
            </w:r>
          </w:p>
        </w:tc>
        <w:tc>
          <w:tcPr>
            <w:tcW w:type="dxa" w:w="59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Integración MediaPipe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Sprint 5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16/11–18/12</w:t>
            </w:r>
          </w:p>
        </w:tc>
        <w:tc>
          <w:tcPr>
            <w:tcW w:type="dxa" w:w="59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Validación, correcciones y cierre</w:t>
            </w:r>
          </w:p>
        </w:tc>
      </w:tr>
    </w:tbl>
    <w:p/>
    <w:p>
      <w:pPr>
        <w:pStyle w:val="Heading2"/>
        <w:spacing w:before="160" w:after="80"/>
      </w:pPr>
      <w:r>
        <w:t>Línea base de costo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Costo económico base Año 1: $3,777,450 CLP. El flujo no contempla ingresos comprometidos ni financiamiento externo. La colaboración de DIDECO Huechuraba no se valoriza como ingreso porque no implica transferencia monetaria.</w:t>
      </w:r>
    </w:p>
    <w:p>
      <w:pPr>
        <w:pStyle w:val="Heading2"/>
        <w:spacing w:before="160" w:after="80"/>
      </w:pPr>
      <w:r>
        <w:t>Línea base para la medición del desempeño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Se medirá cumplimiento de Sprint Goal, porcentaje de historias terminadas, defectos críticos, avance de hitos, variación de costo forecast versus línea base, riesgos abiertos y resultados de validación. Las métricas que no cuenten con registro histórico no se reconstruirán de manera ficticia.</w:t>
      </w:r>
    </w:p>
    <w:p>
      <w:pPr>
        <w:pStyle w:val="Heading1"/>
        <w:spacing w:before="160" w:after="80"/>
      </w:pPr>
      <w:r>
        <w:t>Componentes adicionales del plan de gestión de proyectos</w:t>
      </w:r>
    </w:p>
    <w:p>
      <w:pPr>
        <w:pStyle w:val="Heading2"/>
        <w:spacing w:before="160" w:after="80"/>
      </w:pPr>
      <w:r>
        <w:t>Plan de gestión de cambios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Todo cambio relevante se registra con código CC-###, origen, descripción, motivo, impacto en alcance/tiempo/costo/calidad, prioridad y decisión. El Product Owner evalúa valor y alcance; el equipo estima impacto; cambios que comprometan entregables académicos se escalan al docente guía.</w:t>
      </w:r>
    </w:p>
    <w:p>
      <w:pPr>
        <w:pStyle w:val="Heading2"/>
        <w:spacing w:before="160" w:after="80"/>
      </w:pPr>
      <w:r>
        <w:t>Plan de gestión de configuración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GitHub (https://github.com/RatalinaPrograma/Proyecto-Senias) es la fuente de control de versiones. Las ramas, commits y pull requests deben permitir trazabilidad. Credenciales y secretos no se almacenan en el repositorio público. Cambios en esquema de Supabase se documentan junto con su impacto en servicios y frontend.</w:t>
      </w:r>
    </w:p>
    <w:p>
      <w:pPr>
        <w:pStyle w:val="Heading2"/>
        <w:spacing w:before="160" w:after="80"/>
      </w:pPr>
      <w:r>
        <w:t>Descripción del ciclo de vida del proyecto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Ciclo de vida incremental: descubrimiento y visión → definición/requerimientos → construcción iterativa por Sprints → integración y pruebas → validación → cierre de fase. El producto puede continuar evolucionando después del cierre académico.</w:t>
      </w:r>
    </w:p>
    <w:p>
      <w:pPr>
        <w:pStyle w:val="Heading2"/>
        <w:spacing w:before="160" w:after="80"/>
      </w:pPr>
      <w:r>
        <w:t>Enfoque de desarrollo del plan de proyecto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Enfoque ágil basado en Scrum, con Product Backlog, Sprint Planning, Daily Scrum, Review, Retrospective y refinamiento. La planificación de alto nivel se mantiene estable, mientras las tareas y prioridades pueden ajustarse entre Sprints según valor y evidencia.</w:t>
      </w:r>
    </w:p>
    <w:p>
      <w:pPr>
        <w:pStyle w:val="Heading2"/>
        <w:spacing w:before="160" w:after="80"/>
      </w:pPr>
      <w:r>
        <w:t>Evaluaciones de la gerencia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El Product Owner y Scrum Master revisan semanalmente estado, riesgos, impedimentos y desviaciones. Al cierre de cada Sprint se evalúa el incremento y se decide aceptar, re-trabajar o devolver elementos al backlog. El docente guía actúa como instancia académica de revisión y escalamiento.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 w:cs="Aptos"/>
        <w:b w:val="0"/>
        <w:color w:val="777777"/>
        <w:sz w:val="16"/>
      </w:rPr>
      <w:t>Signy | Proyecto académico Duoc UC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