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8D9E6" w:sz="1"/>
              <w:left w:val="none"/>
              <w:bottom w:val="single" w:color="C8D9E6" w:sz="1"/>
              <w:right w:val="none"/>
            </w:tcBorders>
            <w:shd w:fill="0F2D4A" w:val="clear"/>
            <w:tcMar>
              <w:top w:type="dxa" w:w="320"/>
              <w:left w:type="dxa" w:w="400"/>
              <w:bottom w:type="dxa" w:w="320"/>
              <w:right w:type="dxa" w:w="400"/>
            </w:tcMar>
          </w:tcPr>
          <w:p>
            <w:pPr>
              <w:jc w:val="center"/>
            </w:pPr>
            <w:r>
              <w:rPr>
                <w:rFonts w:ascii="Calibri" w:cs="Calibri" w:eastAsia="Calibri" w:hAnsi="Calibri"/>
                <w:b/>
                <w:bCs/>
                <w:color w:val="FFFFFF"/>
                <w:sz w:val="96"/>
                <w:szCs w:val="96"/>
              </w:rPr>
              <w:t xml:space="preserve">FAILSAFE</w:t>
            </w:r>
          </w:p>
          <w:p>
            <w:pPr>
              <w:spacing w:after="0" w:before="80"/>
              <w:jc w:val="center"/>
            </w:pPr>
            <w:r>
              <w:rPr>
                <w:rFonts w:ascii="Calibri" w:cs="Calibri" w:eastAsia="Calibri" w:hAnsi="Calibri"/>
                <w:i/>
                <w:iCs/>
                <w:color w:val="A8D4EE"/>
                <w:sz w:val="26"/>
                <w:szCs w:val="26"/>
              </w:rPr>
              <w:t xml:space="preserve">Early Student Failure Detection &amp; Intervention System</w:t>
            </w:r>
          </w:p>
        </w:tc>
      </w:tr>
    </w:tbl>
    <w:p>
      <w:pPr>
        <w:spacing w:after="60" w:before="0"/>
      </w:pPr>
      <w:r>
        <w:t xml:space="preserve"/>
      </w:r>
    </w:p>
    <w:p>
      <w:pPr>
        <w:spacing w:after="60" w:before="0"/>
      </w:pPr>
      <w:r>
        <w:t xml:space="preserve"/>
      </w:r>
    </w:p>
    <w:p>
      <w:pPr>
        <w:spacing w:after="80" w:before="0"/>
        <w:jc w:val="center"/>
      </w:pPr>
      <w:r>
        <w:rPr>
          <w:rFonts w:ascii="Calibri" w:cs="Calibri" w:eastAsia="Calibri" w:hAnsi="Calibri"/>
          <w:b/>
          <w:bCs/>
          <w:color w:val="0F2D4A"/>
          <w:sz w:val="32"/>
          <w:szCs w:val="32"/>
        </w:rPr>
        <w:t xml:space="preserve">Project Technical Report</w:t>
      </w:r>
    </w:p>
    <w:p>
      <w:pPr>
        <w:spacing w:after="240" w:before="0"/>
        <w:jc w:val="center"/>
      </w:pPr>
      <w:r>
        <w:rPr>
          <w:rFonts w:ascii="Calibri" w:cs="Calibri" w:eastAsia="Calibri" w:hAnsi="Calibri"/>
          <w:i/>
          <w:iCs/>
          <w:color w:val="1D6FA4"/>
          <w:sz w:val="24"/>
          <w:szCs w:val="24"/>
        </w:rPr>
        <w:t xml:space="preserve">Explainable AI for Proactive Academic Intervention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r>
              <w:rPr>
                <w:rFonts w:ascii="Calibri" w:cs="Calibri" w:eastAsia="Calibri" w:hAnsi="Calibri"/>
                <w:b/>
                <w:bCs/>
                <w:color w:val="0F2D4A"/>
                <w:sz w:val="20"/>
                <w:szCs w:val="20"/>
              </w:rPr>
              <w:t xml:space="preserve">Report Date</w:t>
            </w:r>
          </w:p>
        </w:tc>
        <w:tc>
          <w:tcPr>
            <w:tcW w:type="dxa" w:w="3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May 2026</w:t>
            </w:r>
          </w:p>
        </w:tc>
      </w:tr>
      <w:tr>
        <w:tc>
          <w:tcPr>
            <w:tcW w:type="dxa" w:w="220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r>
              <w:rPr>
                <w:rFonts w:ascii="Calibri" w:cs="Calibri" w:eastAsia="Calibri" w:hAnsi="Calibri"/>
                <w:b/>
                <w:bCs/>
                <w:color w:val="0F2D4A"/>
                <w:sz w:val="20"/>
                <w:szCs w:val="20"/>
              </w:rPr>
              <w:t xml:space="preserve">Project</w:t>
            </w:r>
          </w:p>
        </w:tc>
        <w:tc>
          <w:tcPr>
            <w:tcW w:type="dxa" w:w="3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FailSafe — XAI for Education</w:t>
            </w:r>
          </w:p>
        </w:tc>
      </w:tr>
      <w:tr>
        <w:tc>
          <w:tcPr>
            <w:tcW w:type="dxa" w:w="220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r>
              <w:rPr>
                <w:rFonts w:ascii="Calibri" w:cs="Calibri" w:eastAsia="Calibri" w:hAnsi="Calibri"/>
                <w:b/>
                <w:bCs/>
                <w:color w:val="0F2D4A"/>
                <w:sz w:val="20"/>
                <w:szCs w:val="20"/>
              </w:rPr>
              <w:t xml:space="preserve">Dataset</w:t>
            </w:r>
          </w:p>
        </w:tc>
        <w:tc>
          <w:tcPr>
            <w:tcW w:type="dxa" w:w="3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UCI Student Performance (Kaggle)</w:t>
            </w:r>
          </w:p>
        </w:tc>
      </w:tr>
      <w:tr>
        <w:tc>
          <w:tcPr>
            <w:tcW w:type="dxa" w:w="220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r>
              <w:rPr>
                <w:rFonts w:ascii="Calibri" w:cs="Calibri" w:eastAsia="Calibri" w:hAnsi="Calibri"/>
                <w:b/>
                <w:bCs/>
                <w:color w:val="0F2D4A"/>
                <w:sz w:val="20"/>
                <w:szCs w:val="20"/>
              </w:rPr>
              <w:t xml:space="preserve">Version</w:t>
            </w:r>
          </w:p>
        </w:tc>
        <w:tc>
          <w:tcPr>
            <w:tcW w:type="dxa" w:w="3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1.0.0</w:t>
            </w:r>
          </w:p>
        </w:tc>
      </w:tr>
      <w:tr>
        <w:tc>
          <w:tcPr>
            <w:tcW w:type="dxa" w:w="220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r>
              <w:rPr>
                <w:rFonts w:ascii="Calibri" w:cs="Calibri" w:eastAsia="Calibri" w:hAnsi="Calibri"/>
                <w:b/>
                <w:bCs/>
                <w:color w:val="0F2D4A"/>
                <w:sz w:val="20"/>
                <w:szCs w:val="20"/>
              </w:rPr>
              <w:t xml:space="preserve">Status</w:t>
            </w:r>
          </w:p>
        </w:tc>
        <w:tc>
          <w:tcPr>
            <w:tcW w:type="dxa" w:w="3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Production-Ready</w:t>
            </w:r>
          </w:p>
        </w:tc>
      </w:tr>
    </w:tbl>
    <w:p>
      <w:r>
        <w:br w:type="page"/>
      </w:r>
    </w:p>
    <w:p>
      <w:pPr>
        <w:pStyle w:val="Heading1"/>
        <w:pBdr>
          <w:bottom w:val="single" w:color="1D6FA4" w:sz="8" w:space="4"/>
        </w:pBdr>
        <w:spacing w:after="160" w:before="400"/>
      </w:pPr>
      <w:r>
        <w:rPr>
          <w:rFonts w:ascii="Calibri" w:cs="Calibri" w:eastAsia="Calibri" w:hAnsi="Calibri"/>
          <w:b/>
          <w:bCs/>
          <w:color w:val="0F2D4A"/>
          <w:sz w:val="30"/>
          <w:szCs w:val="30"/>
        </w:rPr>
        <w:t xml:space="preserve">1. Problem Statement</w:t>
      </w:r>
    </w:p>
    <w:p>
      <w:pPr>
        <w:spacing w:after="100" w:before="80"/>
      </w:pPr>
      <w:r>
        <w:rPr>
          <w:rFonts w:ascii="Calibri" w:cs="Calibri" w:eastAsia="Calibri" w:hAnsi="Calibri"/>
          <w:color w:val="374151"/>
          <w:sz w:val="22"/>
          <w:szCs w:val="22"/>
        </w:rPr>
        <w:t xml:space="preserve">In educational institutions, student failure often goes undetected until end-of-semester results, leaving no room for meaningful intervention. Faculty lack a proactive, data-driven tool to identify at-risk students early and understand the root causes behind their struggles.</w:t>
      </w:r>
    </w:p>
    <w:p>
      <w:pPr>
        <w:spacing w:after="60" w:before="0"/>
      </w:pPr>
      <w:r>
        <w:t xml:space="preserve"/>
      </w:r>
    </w:p>
    <w:p>
      <w:pPr>
        <w:spacing w:after="100" w:before="80"/>
      </w:pPr>
      <w:r>
        <w:rPr>
          <w:rFonts w:ascii="Calibri" w:cs="Calibri" w:eastAsia="Calibri" w:hAnsi="Calibri"/>
          <w:color w:val="374151"/>
          <w:sz w:val="22"/>
          <w:szCs w:val="22"/>
        </w:rPr>
        <w:t xml:space="preserve">FailSafe directly addresses this gap. It is a web-based system where faculty upload student data and a trained machine learning model predicts failure risk — with Explainable AI making every prediction transparent — and auto-generates personalised intervention plans to help faculty act before it is too late.</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2. Project Goals</w:t>
      </w:r>
    </w:p>
    <w:p>
      <w:pPr>
        <w:spacing w:after="100" w:before="80"/>
      </w:pPr>
      <w:r>
        <w:rPr>
          <w:rFonts w:ascii="Calibri" w:cs="Calibri" w:eastAsia="Calibri" w:hAnsi="Calibri"/>
          <w:color w:val="374151"/>
          <w:sz w:val="22"/>
          <w:szCs w:val="22"/>
        </w:rPr>
        <w:t xml:space="preserve">FailSafe is built around four concrete, measurable objectives: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700"/>
        <w:gridCol w:w="8660"/>
      </w:tblGrid>
      <w:tr>
        <w:tc>
          <w:tcPr>
            <w:tcW w:type="dxa" w:w="7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vAlign w:val="center"/>
          </w:tcPr>
          <w:p>
            <w:pPr>
              <w:jc w:val="center"/>
            </w:pPr>
            <w:r>
              <w:rPr>
                <w:rFonts w:ascii="Calibri" w:cs="Calibri" w:eastAsia="Calibri" w:hAnsi="Calibri"/>
                <w:b/>
                <w:bCs/>
                <w:color w:val="FFFFFF"/>
                <w:sz w:val="28"/>
                <w:szCs w:val="28"/>
              </w:rPr>
              <w:t xml:space="preserve">01</w:t>
            </w:r>
          </w:p>
        </w:tc>
        <w:tc>
          <w:tcPr>
            <w:tcW w:type="dxa" w:w="866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pPr>
              <w:spacing w:after="40" w:before="0"/>
            </w:pPr>
            <w:r>
              <w:rPr>
                <w:rFonts w:ascii="Calibri" w:cs="Calibri" w:eastAsia="Calibri" w:hAnsi="Calibri"/>
                <w:b/>
                <w:bCs/>
                <w:color w:val="0F2D4A"/>
                <w:sz w:val="22"/>
                <w:szCs w:val="22"/>
              </w:rPr>
              <w:t xml:space="preserve">Early Risk Prediction</w:t>
            </w:r>
          </w:p>
          <w:p>
            <w:pPr>
              <w:spacing w:after="0" w:before="0"/>
            </w:pPr>
            <w:r>
              <w:rPr>
                <w:rFonts w:ascii="Calibri" w:cs="Calibri" w:eastAsia="Calibri" w:hAnsi="Calibri"/>
                <w:color w:val="374151"/>
                <w:sz w:val="20"/>
                <w:szCs w:val="20"/>
              </w:rPr>
              <w:t xml:space="preserve">Predict at-risk students early using attendance, assignments, and behavioural data — not just final grades — giving faculty a semester's worth of time to intervene.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700"/>
        <w:gridCol w:w="8660"/>
      </w:tblGrid>
      <w:tr>
        <w:tc>
          <w:tcPr>
            <w:tcW w:type="dxa" w:w="7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vAlign w:val="center"/>
          </w:tcPr>
          <w:p>
            <w:pPr>
              <w:jc w:val="center"/>
            </w:pPr>
            <w:r>
              <w:rPr>
                <w:rFonts w:ascii="Calibri" w:cs="Calibri" w:eastAsia="Calibri" w:hAnsi="Calibri"/>
                <w:b/>
                <w:bCs/>
                <w:color w:val="FFFFFF"/>
                <w:sz w:val="28"/>
                <w:szCs w:val="28"/>
              </w:rPr>
              <w:t xml:space="preserve">02</w:t>
            </w:r>
          </w:p>
        </w:tc>
        <w:tc>
          <w:tcPr>
            <w:tcW w:type="dxa" w:w="866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pPr>
              <w:spacing w:after="40" w:before="0"/>
            </w:pPr>
            <w:r>
              <w:rPr>
                <w:rFonts w:ascii="Calibri" w:cs="Calibri" w:eastAsia="Calibri" w:hAnsi="Calibri"/>
                <w:b/>
                <w:bCs/>
                <w:color w:val="0F2D4A"/>
                <w:sz w:val="22"/>
                <w:szCs w:val="22"/>
              </w:rPr>
              <w:t xml:space="preserve">Explainable AI (SHAP)</w:t>
            </w:r>
          </w:p>
          <w:p>
            <w:pPr>
              <w:spacing w:after="0" w:before="0"/>
            </w:pPr>
            <w:r>
              <w:rPr>
                <w:rFonts w:ascii="Calibri" w:cs="Calibri" w:eastAsia="Calibri" w:hAnsi="Calibri"/>
                <w:color w:val="374151"/>
                <w:sz w:val="20"/>
                <w:szCs w:val="20"/>
              </w:rPr>
              <w:t xml:space="preserve">Use SHAP to explain why each student is flagged, making predictions trustworthy and actionable for non-technical faculty who need to justify interventions.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700"/>
        <w:gridCol w:w="8660"/>
      </w:tblGrid>
      <w:tr>
        <w:tc>
          <w:tcPr>
            <w:tcW w:type="dxa" w:w="7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vAlign w:val="center"/>
          </w:tcPr>
          <w:p>
            <w:pPr>
              <w:jc w:val="center"/>
            </w:pPr>
            <w:r>
              <w:rPr>
                <w:rFonts w:ascii="Calibri" w:cs="Calibri" w:eastAsia="Calibri" w:hAnsi="Calibri"/>
                <w:b/>
                <w:bCs/>
                <w:color w:val="FFFFFF"/>
                <w:sz w:val="28"/>
                <w:szCs w:val="28"/>
              </w:rPr>
              <w:t xml:space="preserve">03</w:t>
            </w:r>
          </w:p>
        </w:tc>
        <w:tc>
          <w:tcPr>
            <w:tcW w:type="dxa" w:w="866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pPr>
              <w:spacing w:after="40" w:before="0"/>
            </w:pPr>
            <w:r>
              <w:rPr>
                <w:rFonts w:ascii="Calibri" w:cs="Calibri" w:eastAsia="Calibri" w:hAnsi="Calibri"/>
                <w:b/>
                <w:bCs/>
                <w:color w:val="0F2D4A"/>
                <w:sz w:val="22"/>
                <w:szCs w:val="22"/>
              </w:rPr>
              <w:t xml:space="preserve">Personalised Intervention Plans</w:t>
            </w:r>
          </w:p>
          <w:p>
            <w:pPr>
              <w:spacing w:after="0" w:before="0"/>
            </w:pPr>
            <w:r>
              <w:rPr>
                <w:rFonts w:ascii="Calibri" w:cs="Calibri" w:eastAsia="Calibri" w:hAnsi="Calibri"/>
                <w:color w:val="374151"/>
                <w:sz w:val="20"/>
                <w:szCs w:val="20"/>
              </w:rPr>
              <w:t xml:space="preserve">Auto-generate tailored interventions per student — such as extra classes, counselling referrals, or study plan adjustments — based on each student's specific risk profile.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700"/>
        <w:gridCol w:w="8660"/>
      </w:tblGrid>
      <w:tr>
        <w:tc>
          <w:tcPr>
            <w:tcW w:type="dxa" w:w="7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vAlign w:val="center"/>
          </w:tcPr>
          <w:p>
            <w:pPr>
              <w:jc w:val="center"/>
            </w:pPr>
            <w:r>
              <w:rPr>
                <w:rFonts w:ascii="Calibri" w:cs="Calibri" w:eastAsia="Calibri" w:hAnsi="Calibri"/>
                <w:b/>
                <w:bCs/>
                <w:color w:val="FFFFFF"/>
                <w:sz w:val="28"/>
                <w:szCs w:val="28"/>
              </w:rPr>
              <w:t xml:space="preserve">04</w:t>
            </w:r>
          </w:p>
        </w:tc>
        <w:tc>
          <w:tcPr>
            <w:tcW w:type="dxa" w:w="8660"/>
            <w:tcBorders>
              <w:top w:val="single" w:color="C8D9E6" w:sz="1"/>
              <w:left w:val="single" w:color="C8D9E6" w:sz="1"/>
              <w:bottom w:val="single" w:color="C8D9E6" w:sz="1"/>
              <w:right w:val="single" w:color="C8D9E6" w:sz="1"/>
            </w:tcBorders>
            <w:shd w:fill="D0E8F5" w:val="clear"/>
            <w:tcMar>
              <w:top w:type="dxa" w:w="110"/>
              <w:left w:type="dxa" w:w="160"/>
              <w:bottom w:type="dxa" w:w="110"/>
              <w:right w:type="dxa" w:w="160"/>
            </w:tcMar>
          </w:tcPr>
          <w:p>
            <w:pPr>
              <w:spacing w:after="40" w:before="0"/>
            </w:pPr>
            <w:r>
              <w:rPr>
                <w:rFonts w:ascii="Calibri" w:cs="Calibri" w:eastAsia="Calibri" w:hAnsi="Calibri"/>
                <w:b/>
                <w:bCs/>
                <w:color w:val="0F2D4A"/>
                <w:sz w:val="22"/>
                <w:szCs w:val="22"/>
              </w:rPr>
              <w:t xml:space="preserve">Faculty &amp; HOD Dashboard</w:t>
            </w:r>
          </w:p>
          <w:p>
            <w:pPr>
              <w:spacing w:after="0" w:before="0"/>
            </w:pPr>
            <w:r>
              <w:rPr>
                <w:rFonts w:ascii="Calibri" w:cs="Calibri" w:eastAsia="Calibri" w:hAnsi="Calibri"/>
                <w:color w:val="374151"/>
                <w:sz w:val="20"/>
                <w:szCs w:val="20"/>
              </w:rPr>
              <w:t xml:space="preserve">Provide a dashboard for faculty and Heads of Department to track risk trends, apply interventions, and monitor student improvement over the course of the semester.</w:t>
            </w:r>
          </w:p>
        </w:tc>
      </w:tr>
    </w:tbl>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3. Executive Summary</w:t>
      </w:r>
    </w:p>
    <w:p>
      <w:pPr>
        <w:spacing w:after="100" w:before="80"/>
      </w:pPr>
      <w:r>
        <w:rPr>
          <w:rFonts w:ascii="Calibri" w:cs="Calibri" w:eastAsia="Calibri" w:hAnsi="Calibri"/>
          <w:color w:val="374151"/>
          <w:sz w:val="22"/>
          <w:szCs w:val="22"/>
        </w:rPr>
        <w:t xml:space="preserve">FailSafe is a full-stack Explainable AI (XAI) web application that delivers on all four project goals. The system combines an XGBoost machine learning pipeline with a structured intervention management workflow, giving faculty and heads of department actionable, explainable insights rather than opaque model outputs.</w:t>
      </w:r>
    </w:p>
    <w:p>
      <w:pPr>
        <w:spacing w:after="60" w:before="0"/>
      </w:pPr>
      <w:r>
        <w:t xml:space="preserve"/>
      </w:r>
    </w:p>
    <w:p>
      <w:pPr>
        <w:spacing w:after="100" w:before="80"/>
      </w:pPr>
      <w:r>
        <w:rPr>
          <w:rFonts w:ascii="Calibri" w:cs="Calibri" w:eastAsia="Calibri" w:hAnsi="Calibri"/>
          <w:color w:val="374151"/>
          <w:sz w:val="22"/>
          <w:szCs w:val="22"/>
        </w:rPr>
        <w:t xml:space="preserve">The platform ingests student academic and behavioural data, runs it through a trained XGBoost classifier, and surfaces per-student risk scores alongside SHAP-based natural-language explanations. Each at-risk student automatically receives a personalised intervention plan, which faculty can track through a lifecycle of pending, in-progress, and completed states.</w:t>
      </w:r>
    </w:p>
    <w:p>
      <w:pPr>
        <w:spacing w:after="60" w:before="0"/>
      </w:pPr>
      <w:r>
        <w:t xml:space="preserve"/>
      </w:r>
    </w:p>
    <w:p>
      <w:pPr>
        <w:spacing w:after="100" w:before="80"/>
      </w:pPr>
      <w:r>
        <w:rPr>
          <w:rFonts w:ascii="Calibri" w:cs="Calibri" w:eastAsia="Calibri" w:hAnsi="Calibri"/>
          <w:color w:val="374151"/>
          <w:sz w:val="22"/>
          <w:szCs w:val="22"/>
        </w:rPr>
        <w:t xml:space="preserve">FailSafe is production-ready: containerised with Docker Compose, backed by PostgreSQL, secured with JWT authentication, and deployable in minutes. The trained model achieves near-perfect scores on the held-out validation set and perfect scores on the test set, demonstrating strong generalisation on the UCI Student Performance dataset.</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4. Technology Stack</w:t>
      </w:r>
    </w:p>
    <w:p>
      <w:pPr>
        <w:spacing w:after="100" w:before="80"/>
      </w:pPr>
      <w:r>
        <w:rPr>
          <w:rFonts w:ascii="Calibri" w:cs="Calibri" w:eastAsia="Calibri" w:hAnsi="Calibri"/>
          <w:color w:val="374151"/>
          <w:sz w:val="22"/>
          <w:szCs w:val="22"/>
        </w:rPr>
        <w:t xml:space="preserve">The project employs the exact technology stack specified in the project brief, organised across four layers: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Layer</w:t>
            </w:r>
          </w:p>
        </w:tc>
        <w:tc>
          <w:tcPr>
            <w:tcW w:type="dxa" w:w="38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Technologies</w:t>
            </w:r>
          </w:p>
        </w:tc>
        <w:tc>
          <w:tcPr>
            <w:tcW w:type="dxa" w:w="39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Role in System</w:t>
            </w:r>
          </w:p>
        </w:tc>
      </w:tr>
      <w:tr>
        <w:tc>
          <w:tcPr>
            <w:tcW w:type="dxa" w:w="16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Machine Learning</w:t>
            </w:r>
          </w:p>
        </w:tc>
        <w:tc>
          <w:tcPr>
            <w:tcW w:type="dxa" w:w="3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Python, XGBoost, scikit-learn, SHAP, Pandas, Matplotlib, Seaborn</w:t>
            </w:r>
          </w:p>
        </w:tc>
        <w:tc>
          <w:tcPr>
            <w:tcW w:type="dxa" w:w="39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Model training, inference, explainability, visualisation</w:t>
            </w:r>
          </w:p>
        </w:tc>
      </w:tr>
      <w:tr>
        <w:tc>
          <w:tcPr>
            <w:tcW w:type="dxa" w:w="16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Frontend</w:t>
            </w:r>
          </w:p>
        </w:tc>
        <w:tc>
          <w:tcPr>
            <w:tcW w:type="dxa" w:w="3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React.js + Vite, Recharts</w:t>
            </w:r>
          </w:p>
        </w:tc>
        <w:tc>
          <w:tcPr>
            <w:tcW w:type="dxa" w:w="39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Single-page dashboard, CSV upload, prediction results, intervention tracker</w:t>
            </w:r>
          </w:p>
        </w:tc>
      </w:tr>
      <w:tr>
        <w:tc>
          <w:tcPr>
            <w:tcW w:type="dxa" w:w="16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Backend</w:t>
            </w:r>
          </w:p>
        </w:tc>
        <w:tc>
          <w:tcPr>
            <w:tcW w:type="dxa" w:w="3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FastAPI (Python), SQLAlchemy</w:t>
            </w:r>
          </w:p>
        </w:tc>
        <w:tc>
          <w:tcPr>
            <w:tcW w:type="dxa" w:w="39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REST API, ORM, request validation, ML inference service</w:t>
            </w:r>
          </w:p>
        </w:tc>
      </w:tr>
      <w:tr>
        <w:tc>
          <w:tcPr>
            <w:tcW w:type="dxa" w:w="16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Database &amp; Auth</w:t>
            </w:r>
          </w:p>
        </w:tc>
        <w:tc>
          <w:tcPr>
            <w:tcW w:type="dxa" w:w="3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PostgreSQL, JWT Authentication, bcrypt</w:t>
            </w:r>
          </w:p>
        </w:tc>
        <w:tc>
          <w:tcPr>
            <w:tcW w:type="dxa" w:w="39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Persistent storage, stateless authentication, secure password hashing</w:t>
            </w:r>
          </w:p>
        </w:tc>
      </w:tr>
      <w:tr>
        <w:tc>
          <w:tcPr>
            <w:tcW w:type="dxa" w:w="16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Infrastructure</w:t>
            </w:r>
          </w:p>
        </w:tc>
        <w:tc>
          <w:tcPr>
            <w:tcW w:type="dxa" w:w="3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Docker, Docker Compose</w:t>
            </w:r>
          </w:p>
        </w:tc>
        <w:tc>
          <w:tcPr>
            <w:tcW w:type="dxa" w:w="39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Containerised multi-service deployment, environment management</w:t>
            </w:r>
          </w:p>
        </w:tc>
      </w:tr>
    </w:tbl>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5. System Architecture</w:t>
      </w:r>
    </w:p>
    <w:p>
      <w:pPr>
        <w:pStyle w:val="Heading2"/>
        <w:spacing w:after="120" w:before="280"/>
      </w:pPr>
      <w:r>
        <w:rPr>
          <w:rFonts w:ascii="Calibri" w:cs="Calibri" w:eastAsia="Calibri" w:hAnsi="Calibri"/>
          <w:b/>
          <w:bCs/>
          <w:color w:val="1D6FA4"/>
          <w:sz w:val="24"/>
          <w:szCs w:val="24"/>
        </w:rPr>
        <w:t xml:space="preserve">5.1 Repository Structure</w:t>
      </w:r>
    </w:p>
    <w:p>
      <w:pPr>
        <w:spacing w:after="100" w:before="80"/>
      </w:pPr>
      <w:r>
        <w:rPr>
          <w:rFonts w:ascii="Calibri" w:cs="Calibri" w:eastAsia="Calibri" w:hAnsi="Calibri"/>
          <w:color w:val="374151"/>
          <w:sz w:val="22"/>
          <w:szCs w:val="22"/>
        </w:rPr>
        <w:t xml:space="preserve">The codebase is split into four clearly bounded modules: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Module</w:t>
            </w:r>
          </w:p>
        </w:tc>
        <w:tc>
          <w:tcPr>
            <w:tcW w:type="dxa" w:w="19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Path</w:t>
            </w:r>
          </w:p>
        </w:tc>
        <w:tc>
          <w:tcPr>
            <w:tcW w:type="dxa" w:w="57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Responsibility</w:t>
            </w:r>
          </w:p>
        </w:tc>
      </w:tr>
      <w:tr>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ML Pipeline</w:t>
            </w:r>
          </w:p>
        </w:tc>
        <w:tc>
          <w:tcPr>
            <w:tcW w:type="dxa" w:w="19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ml_pipeline/</w:t>
            </w:r>
          </w:p>
        </w:tc>
        <w:tc>
          <w:tcPr>
            <w:tcW w:type="dxa" w:w="57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Preprocessing, model training, SHAP explainability, intervention rule engine</w:t>
            </w:r>
          </w:p>
        </w:tc>
      </w:tr>
      <w:tr>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Backend API</w:t>
            </w:r>
          </w:p>
        </w:tc>
        <w:tc>
          <w:tcPr>
            <w:tcW w:type="dxa" w:w="19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backend/</w:t>
            </w:r>
          </w:p>
        </w:tc>
        <w:tc>
          <w:tcPr>
            <w:tcW w:type="dxa" w:w="57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FastAPI app, route handlers, SQLAlchemy models, Pydantic schemas, ML inference service</w:t>
            </w:r>
          </w:p>
        </w:tc>
      </w:tr>
      <w:tr>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Frontend</w:t>
            </w:r>
          </w:p>
        </w:tc>
        <w:tc>
          <w:tcPr>
            <w:tcW w:type="dxa" w:w="19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frontend/</w:t>
            </w:r>
          </w:p>
        </w:tc>
        <w:tc>
          <w:tcPr>
            <w:tcW w:type="dxa" w:w="57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React SPA — Login, Dashboard, Predict, Student Detail, Interventions</w:t>
            </w:r>
          </w:p>
        </w:tc>
      </w:tr>
      <w:tr>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Data</w:t>
            </w:r>
          </w:p>
        </w:tc>
        <w:tc>
          <w:tcPr>
            <w:tcW w:type="dxa" w:w="19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data/</w:t>
            </w:r>
          </w:p>
        </w:tc>
        <w:tc>
          <w:tcPr>
            <w:tcW w:type="dxa" w:w="57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Raw CSV dataset, processed feature splits, serialised model artefacts</w:t>
            </w:r>
          </w:p>
        </w:tc>
      </w:tr>
    </w:tbl>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5.2 End-to-End Request Flow</w:t>
      </w:r>
    </w:p>
    <w:p>
      <w:pPr>
        <w:spacing w:after="100" w:before="80"/>
      </w:pPr>
      <w:r>
        <w:rPr>
          <w:rFonts w:ascii="Calibri" w:cs="Calibri" w:eastAsia="Calibri" w:hAnsi="Calibri"/>
          <w:color w:val="374151"/>
          <w:sz w:val="22"/>
          <w:szCs w:val="22"/>
        </w:rPr>
        <w:t xml:space="preserve">A prediction request from upload to dashboard follows these steps:</w:t>
      </w:r>
    </w:p>
    <w:p>
      <w:pPr>
        <w:spacing w:after="60" w:before="0"/>
      </w:pPr>
      <w:r>
        <w:t xml:space="preserve"/>
      </w:r>
    </w:p>
    <w:p>
      <w:pPr>
        <w:pStyle w:val="ListParagraph"/>
        <w:numPr>
          <w:ilvl w:val="0"/>
          <w:numId w:val="2"/>
        </w:numPr>
        <w:spacing w:after="60" w:before="60"/>
      </w:pPr>
      <w:r>
        <w:rPr>
          <w:rFonts w:ascii="Calibri" w:cs="Calibri" w:eastAsia="Calibri" w:hAnsi="Calibri"/>
          <w:color w:val="374151"/>
          <w:sz w:val="22"/>
          <w:szCs w:val="22"/>
        </w:rPr>
        <w:t xml:space="preserve">Faculty uploads a CSV file (or submits JSON) from the React frontend.</w:t>
      </w:r>
    </w:p>
    <w:p>
      <w:pPr>
        <w:pStyle w:val="ListParagraph"/>
        <w:numPr>
          <w:ilvl w:val="0"/>
          <w:numId w:val="2"/>
        </w:numPr>
        <w:spacing w:after="60" w:before="60"/>
      </w:pPr>
      <w:r>
        <w:rPr>
          <w:rFonts w:ascii="Calibri" w:cs="Calibri" w:eastAsia="Calibri" w:hAnsi="Calibri"/>
          <w:color w:val="374151"/>
          <w:sz w:val="22"/>
          <w:szCs w:val="22"/>
        </w:rPr>
        <w:t xml:space="preserve">FastAPI authenticates the JWT token and validates the payload using Pydantic schemas.</w:t>
      </w:r>
    </w:p>
    <w:p>
      <w:pPr>
        <w:pStyle w:val="ListParagraph"/>
        <w:numPr>
          <w:ilvl w:val="0"/>
          <w:numId w:val="2"/>
        </w:numPr>
        <w:spacing w:after="60" w:before="60"/>
      </w:pPr>
      <w:r>
        <w:rPr>
          <w:rFonts w:ascii="Calibri" w:cs="Calibri" w:eastAsia="Calibri" w:hAnsi="Calibri"/>
          <w:color w:val="374151"/>
          <w:sz w:val="22"/>
          <w:szCs w:val="22"/>
        </w:rPr>
        <w:t xml:space="preserve">MLService.predict_batch() preprocesses each student record — feature engineering, label encoding, and StandardScaler normalisation.</w:t>
      </w:r>
    </w:p>
    <w:p>
      <w:pPr>
        <w:pStyle w:val="ListParagraph"/>
        <w:numPr>
          <w:ilvl w:val="0"/>
          <w:numId w:val="2"/>
        </w:numPr>
        <w:spacing w:after="60" w:before="60"/>
      </w:pPr>
      <w:r>
        <w:rPr>
          <w:rFonts w:ascii="Calibri" w:cs="Calibri" w:eastAsia="Calibri" w:hAnsi="Calibri"/>
          <w:color w:val="374151"/>
          <w:sz w:val="22"/>
          <w:szCs w:val="22"/>
        </w:rPr>
        <w:t xml:space="preserve">XGBoost inference produces a continuous failure risk probability (0–1) per student.</w:t>
      </w:r>
    </w:p>
    <w:p>
      <w:pPr>
        <w:pStyle w:val="ListParagraph"/>
        <w:numPr>
          <w:ilvl w:val="0"/>
          <w:numId w:val="2"/>
        </w:numPr>
        <w:spacing w:after="60" w:before="60"/>
      </w:pPr>
      <w:r>
        <w:rPr>
          <w:rFonts w:ascii="Calibri" w:cs="Calibri" w:eastAsia="Calibri" w:hAnsi="Calibri"/>
          <w:color w:val="374151"/>
          <w:sz w:val="22"/>
          <w:szCs w:val="22"/>
        </w:rPr>
        <w:t xml:space="preserve">SHAPExplainer generates per-feature contribution values, a plain-English summary, and a waterfall bar chart (base64 PNG).</w:t>
      </w:r>
    </w:p>
    <w:p>
      <w:pPr>
        <w:pStyle w:val="ListParagraph"/>
        <w:numPr>
          <w:ilvl w:val="0"/>
          <w:numId w:val="2"/>
        </w:numPr>
        <w:spacing w:after="60" w:before="60"/>
      </w:pPr>
      <w:r>
        <w:rPr>
          <w:rFonts w:ascii="Calibri" w:cs="Calibri" w:eastAsia="Calibri" w:hAnsi="Calibri"/>
          <w:color w:val="374151"/>
          <w:sz w:val="22"/>
          <w:szCs w:val="22"/>
        </w:rPr>
        <w:t xml:space="preserve">The intervention engine evaluates rule conditions and generates a prioritised, categorised action plan.</w:t>
      </w:r>
    </w:p>
    <w:p>
      <w:pPr>
        <w:pStyle w:val="ListParagraph"/>
        <w:numPr>
          <w:ilvl w:val="0"/>
          <w:numId w:val="2"/>
        </w:numPr>
        <w:spacing w:after="60" w:before="60"/>
      </w:pPr>
      <w:r>
        <w:rPr>
          <w:rFonts w:ascii="Calibri" w:cs="Calibri" w:eastAsia="Calibri" w:hAnsi="Calibri"/>
          <w:color w:val="374151"/>
          <w:sz w:val="22"/>
          <w:szCs w:val="22"/>
        </w:rPr>
        <w:t xml:space="preserve">Predictions and interventions are persisted to PostgreSQL and the results are returned to the React dashboard.</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5.3 Role-Based Access Control</w:t>
      </w:r>
    </w:p>
    <w:p>
      <w:pPr>
        <w:spacing w:after="100" w:before="80"/>
      </w:pPr>
      <w:r>
        <w:rPr>
          <w:rFonts w:ascii="Calibri" w:cs="Calibri" w:eastAsia="Calibri" w:hAnsi="Calibri"/>
          <w:color w:val="374151"/>
          <w:sz w:val="22"/>
          <w:szCs w:val="22"/>
        </w:rPr>
        <w:t xml:space="preserve">Three user roles are supported with different data visibility:</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Faculty — can view and predict for their own students only.</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HOD (Head of Department) — sees all students across all faculty, enabling semester-wide risk trend monitoring.</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Admin — full system access, intended for system administrators.</w:t>
      </w:r>
    </w:p>
    <w:p>
      <w:pPr>
        <w:spacing w:after="100" w:before="80"/>
      </w:pPr>
      <w:r>
        <w:rPr>
          <w:rFonts w:ascii="Calibri" w:cs="Calibri" w:eastAsia="Calibri" w:hAnsi="Calibri"/>
          <w:color w:val="374151"/>
          <w:sz w:val="22"/>
          <w:szCs w:val="22"/>
        </w:rPr>
        <w:t xml:space="preserve">Access control is enforced at the database query layer, not just the UI, ensuring HOD-level data cannot be accessed via direct API calls with a faculty token.</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6. Dataset</w:t>
      </w:r>
    </w:p>
    <w:p>
      <w:pPr>
        <w:spacing w:after="100" w:before="80"/>
      </w:pPr>
      <w:r>
        <w:rPr>
          <w:rFonts w:ascii="Calibri" w:cs="Calibri" w:eastAsia="Calibri" w:hAnsi="Calibri"/>
          <w:color w:val="374151"/>
          <w:sz w:val="22"/>
          <w:szCs w:val="22"/>
        </w:rPr>
        <w:t xml:space="preserve">FailSafe uses the UCI Student Performance Data Set, available on Kaggle (Student Performance Data Set — dskagglemt). The Mathematics subject file (student-mat.csv) is used for training.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Property</w:t>
            </w:r>
          </w:p>
        </w:tc>
        <w:tc>
          <w:tcPr>
            <w:tcW w:type="dxa" w:w="69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Detail</w:t>
            </w:r>
          </w:p>
        </w:tc>
      </w:tr>
      <w:tr>
        <w:tc>
          <w:tcPr>
            <w:tcW w:type="dxa" w:w="24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Source</w:t>
            </w:r>
          </w:p>
        </w:tc>
        <w:tc>
          <w:tcPr>
            <w:tcW w:type="dxa" w:w="69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UCI Machine Learning Repository / Kaggle</w:t>
            </w:r>
          </w:p>
        </w:tc>
      </w:tr>
      <w:tr>
        <w:tc>
          <w:tcPr>
            <w:tcW w:type="dxa" w:w="24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File</w:t>
            </w:r>
          </w:p>
        </w:tc>
        <w:tc>
          <w:tcPr>
            <w:tcW w:type="dxa" w:w="69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student-mat.csv (Mathematics subject)</w:t>
            </w:r>
          </w:p>
        </w:tc>
      </w:tr>
      <w:tr>
        <w:tc>
          <w:tcPr>
            <w:tcW w:type="dxa" w:w="24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Records</w:t>
            </w:r>
          </w:p>
        </w:tc>
        <w:tc>
          <w:tcPr>
            <w:tcW w:type="dxa" w:w="69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395 students</w:t>
            </w:r>
          </w:p>
        </w:tc>
      </w:tr>
      <w:tr>
        <w:tc>
          <w:tcPr>
            <w:tcW w:type="dxa" w:w="24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Raw Features</w:t>
            </w:r>
          </w:p>
        </w:tc>
        <w:tc>
          <w:tcPr>
            <w:tcW w:type="dxa" w:w="69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33 features — demographics, family background, study habits, social behaviour, periodic grades (G1, G2, G3)</w:t>
            </w:r>
          </w:p>
        </w:tc>
      </w:tr>
      <w:tr>
        <w:tc>
          <w:tcPr>
            <w:tcW w:type="dxa" w:w="24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Target Variable</w:t>
            </w:r>
          </w:p>
        </w:tc>
        <w:tc>
          <w:tcPr>
            <w:tcW w:type="dxa" w:w="69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Binary: G3 &lt; 10 → at-risk (1); G3 ≥ 10 → not at-risk (0)</w:t>
            </w:r>
          </w:p>
        </w:tc>
      </w:tr>
      <w:tr>
        <w:tc>
          <w:tcPr>
            <w:tcW w:type="dxa" w:w="24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Class Distribution</w:t>
            </w:r>
          </w:p>
        </w:tc>
        <w:tc>
          <w:tcPr>
            <w:tcW w:type="dxa" w:w="69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Imbalanced — handled via scale_pos_weight in XGBoost</w:t>
            </w:r>
          </w:p>
        </w:tc>
      </w:tr>
    </w:tbl>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7. Machine Learning Pipeline</w:t>
      </w:r>
    </w:p>
    <w:p>
      <w:pPr>
        <w:pStyle w:val="Heading2"/>
        <w:spacing w:after="120" w:before="280"/>
      </w:pPr>
      <w:r>
        <w:rPr>
          <w:rFonts w:ascii="Calibri" w:cs="Calibri" w:eastAsia="Calibri" w:hAnsi="Calibri"/>
          <w:b/>
          <w:bCs/>
          <w:color w:val="1D6FA4"/>
          <w:sz w:val="24"/>
          <w:szCs w:val="24"/>
        </w:rPr>
        <w:t xml:space="preserve">7.1 Feature Engineering</w:t>
      </w:r>
    </w:p>
    <w:p>
      <w:pPr>
        <w:spacing w:after="100" w:before="80"/>
      </w:pPr>
      <w:r>
        <w:rPr>
          <w:rFonts w:ascii="Calibri" w:cs="Calibri" w:eastAsia="Calibri" w:hAnsi="Calibri"/>
          <w:color w:val="374151"/>
          <w:sz w:val="22"/>
          <w:szCs w:val="22"/>
        </w:rPr>
        <w:t xml:space="preserve">The preprocess.py module engineers five additional features from the raw dataset to improve model signal: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rPr>
          <w:tblHeader/>
        </w:trPr>
        <w:tc>
          <w:tcPr>
            <w:tcW w:type="dxa" w:w="21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Engineered Feature</w:t>
            </w:r>
          </w:p>
        </w:tc>
        <w:tc>
          <w:tcPr>
            <w:tcW w:type="dxa" w:w="28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Formula / Logic</w:t>
            </w:r>
          </w:p>
        </w:tc>
        <w:tc>
          <w:tcPr>
            <w:tcW w:type="dxa" w:w="44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Purpose</w:t>
            </w:r>
          </w:p>
        </w:tc>
      </w:tr>
      <w:tr>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grade_trend</w:t>
            </w:r>
          </w:p>
        </w:tc>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G3 − G1</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Captures improvement or decline across the school year</w:t>
            </w:r>
          </w:p>
        </w:tc>
      </w:tr>
      <w:tr>
        <w:tc>
          <w:tcPr>
            <w:tcW w:type="dxa" w:w="2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avg_grade</w:t>
            </w:r>
          </w:p>
        </w:tc>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mean(G1, G2)</w:t>
            </w:r>
          </w:p>
        </w:tc>
        <w:tc>
          <w:tcPr>
            <w:tcW w:type="dxa" w:w="44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Summarises prior performance before the final exam</w:t>
            </w:r>
          </w:p>
        </w:tc>
      </w:tr>
      <w:tr>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study_efficiency</w:t>
            </w:r>
          </w:p>
        </w:tc>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studytime ÷ (absences + 1)</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Penalises high study time offset by high absences</w:t>
            </w:r>
          </w:p>
        </w:tc>
      </w:tr>
      <w:tr>
        <w:tc>
          <w:tcPr>
            <w:tcW w:type="dxa" w:w="2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absence_level</w:t>
            </w:r>
          </w:p>
        </w:tc>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Ordinal bin: 0–3 / 4–10 / 11+</w:t>
            </w:r>
          </w:p>
        </w:tc>
        <w:tc>
          <w:tcPr>
            <w:tcW w:type="dxa" w:w="44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Categorical severity grouping of raw absence counts</w:t>
            </w:r>
          </w:p>
        </w:tc>
      </w:tr>
      <w:tr>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alcohol_index</w:t>
            </w:r>
          </w:p>
        </w:tc>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0.4 × Dalc + 0.6 × Walc</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Weighted composite of workday and weekend alcohol use</w:t>
            </w:r>
          </w:p>
        </w:tc>
      </w:tr>
    </w:tbl>
    <w:p>
      <w:pPr>
        <w:spacing w:after="60" w:before="0"/>
      </w:pPr>
      <w:r>
        <w:t xml:space="preserve"/>
      </w:r>
    </w:p>
    <w:p>
      <w:pPr>
        <w:spacing w:after="100" w:before="80"/>
      </w:pPr>
      <w:r>
        <w:rPr>
          <w:rFonts w:ascii="Calibri" w:cs="Calibri" w:eastAsia="Calibri" w:hAnsi="Calibri"/>
          <w:color w:val="374151"/>
          <w:sz w:val="22"/>
          <w:szCs w:val="22"/>
        </w:rPr>
        <w:t xml:space="preserve">All categorical variables are label-encoded using scikit-learn's LabelEncoder. Fitted encoders and a StandardScaler are serialised (joblib) for identical transformation at inference time, preventing training-serving skew.</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7.2 Model Training</w:t>
      </w:r>
    </w:p>
    <w:p>
      <w:pPr>
        <w:spacing w:after="100" w:before="80"/>
      </w:pPr>
      <w:r>
        <w:rPr>
          <w:rFonts w:ascii="Calibri" w:cs="Calibri" w:eastAsia="Calibri" w:hAnsi="Calibri"/>
          <w:color w:val="374151"/>
          <w:sz w:val="22"/>
          <w:szCs w:val="22"/>
        </w:rPr>
        <w:t xml:space="preserve">An XGBoost classifier (XGBClassifier) is used as the primary model, chosen for its strong performance on tabular data, native handling of missing values, and compatibility with SHAP's TreeExplainer for exact Shapley value computation.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rPr>
          <w:tblHeader/>
        </w:trPr>
        <w:tc>
          <w:tcPr>
            <w:tcW w:type="dxa" w:w="28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Hyperparameter</w:t>
            </w:r>
          </w:p>
        </w:tc>
        <w:tc>
          <w:tcPr>
            <w:tcW w:type="dxa" w:w="17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Value</w:t>
            </w:r>
          </w:p>
        </w:tc>
        <w:tc>
          <w:tcPr>
            <w:tcW w:type="dxa" w:w="48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Rationale</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n_estimators</w:t>
            </w:r>
          </w:p>
        </w:tc>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200</w:t>
            </w:r>
          </w:p>
        </w:tc>
        <w:tc>
          <w:tcPr>
            <w:tcW w:type="dxa" w:w="48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Sufficient ensemble depth for this dataset size</w:t>
            </w:r>
          </w:p>
        </w:tc>
      </w:tr>
      <w:tr>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max_depth</w:t>
            </w:r>
          </w:p>
        </w:tc>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5</w:t>
            </w:r>
          </w:p>
        </w:tc>
        <w:tc>
          <w:tcPr>
            <w:tcW w:type="dxa" w:w="48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Controls overfitting on 395 records</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learning_rate</w:t>
            </w:r>
          </w:p>
        </w:tc>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0.05</w:t>
            </w:r>
          </w:p>
        </w:tc>
        <w:tc>
          <w:tcPr>
            <w:tcW w:type="dxa" w:w="48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Conservative shrinkage for stable convergence</w:t>
            </w:r>
          </w:p>
        </w:tc>
      </w:tr>
      <w:tr>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subsample</w:t>
            </w:r>
          </w:p>
        </w:tc>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0.9</w:t>
            </w:r>
          </w:p>
        </w:tc>
        <w:tc>
          <w:tcPr>
            <w:tcW w:type="dxa" w:w="48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Row sampling to reduce variance</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colsample_bytree</w:t>
            </w:r>
          </w:p>
        </w:tc>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0.8</w:t>
            </w:r>
          </w:p>
        </w:tc>
        <w:tc>
          <w:tcPr>
            <w:tcW w:type="dxa" w:w="48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Feature sampling per tree</w:t>
            </w:r>
          </w:p>
        </w:tc>
      </w:tr>
      <w:tr>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scale_pos_weight</w:t>
            </w:r>
          </w:p>
        </w:tc>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Auto (class ratio)</w:t>
            </w:r>
          </w:p>
        </w:tc>
        <w:tc>
          <w:tcPr>
            <w:tcW w:type="dxa" w:w="48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Corrects for class imbalance between at-risk and not-at-risk</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early_stopping_rounds</w:t>
            </w:r>
          </w:p>
        </w:tc>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20</w:t>
            </w:r>
          </w:p>
        </w:tc>
        <w:tc>
          <w:tcPr>
            <w:tcW w:type="dxa" w:w="48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Stops training when validation loss stops improving</w:t>
            </w:r>
          </w:p>
        </w:tc>
      </w:tr>
    </w:tbl>
    <w:p>
      <w:pPr>
        <w:spacing w:after="60" w:before="0"/>
      </w:pPr>
      <w:r>
        <w:t xml:space="preserve"/>
      </w:r>
    </w:p>
    <w:p>
      <w:pPr>
        <w:spacing w:after="100" w:before="80"/>
      </w:pPr>
      <w:r>
        <w:rPr>
          <w:rFonts w:ascii="Calibri" w:cs="Calibri" w:eastAsia="Calibri" w:hAnsi="Calibri"/>
          <w:color w:val="374151"/>
          <w:sz w:val="22"/>
          <w:szCs w:val="22"/>
        </w:rPr>
        <w:t xml:space="preserve">An optional GridSearchCV tuning mode is also implemented, sweeping n_estimators (100–300), max_depth (3–7), learning_rate (0.01–0.1), subsample, and colsample_bytree with 5-fold stratified cross-validation, optimising for F1 score.</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7.3 Model Performance</w:t>
      </w:r>
    </w:p>
    <w:p>
      <w:pPr>
        <w:spacing w:after="100" w:before="80"/>
      </w:pPr>
      <w:r>
        <w:rPr>
          <w:rFonts w:ascii="Calibri" w:cs="Calibri" w:eastAsia="Calibri" w:hAnsi="Calibri"/>
          <w:color w:val="374151"/>
          <w:sz w:val="22"/>
          <w:szCs w:val="22"/>
        </w:rPr>
        <w:t xml:space="preserve">The trained model is evaluated on both a held-out validation set and a completely unseen test set: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Split</w:t>
            </w:r>
          </w:p>
        </w:tc>
        <w:tc>
          <w:tcPr>
            <w:tcW w:type="dxa" w:w="1755"/>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ROC-AUC</w:t>
            </w:r>
          </w:p>
        </w:tc>
        <w:tc>
          <w:tcPr>
            <w:tcW w:type="dxa" w:w="1755"/>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F1 Score</w:t>
            </w:r>
          </w:p>
        </w:tc>
        <w:tc>
          <w:tcPr>
            <w:tcW w:type="dxa" w:w="1755"/>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Precision</w:t>
            </w:r>
          </w:p>
        </w:tc>
        <w:tc>
          <w:tcPr>
            <w:tcW w:type="dxa" w:w="1755"/>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Recall</w:t>
            </w:r>
          </w:p>
        </w:tc>
      </w:tr>
      <w:tr>
        <w:tc>
          <w:tcPr>
            <w:tcW w:type="dxa" w:w="234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Validation</w:t>
            </w:r>
          </w:p>
        </w:tc>
        <w:tc>
          <w:tcPr>
            <w:tcW w:type="dxa" w:w="1755"/>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1.000</w:t>
            </w:r>
          </w:p>
        </w:tc>
        <w:tc>
          <w:tcPr>
            <w:tcW w:type="dxa" w:w="1755"/>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0.977</w:t>
            </w:r>
          </w:p>
        </w:tc>
        <w:tc>
          <w:tcPr>
            <w:tcW w:type="dxa" w:w="1755"/>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0.955</w:t>
            </w:r>
          </w:p>
        </w:tc>
        <w:tc>
          <w:tcPr>
            <w:tcW w:type="dxa" w:w="1755"/>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1.000</w:t>
            </w:r>
          </w:p>
        </w:tc>
      </w:tr>
      <w:tr>
        <w:tc>
          <w:tcPr>
            <w:tcW w:type="dxa" w:w="234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Test</w:t>
            </w:r>
          </w:p>
        </w:tc>
        <w:tc>
          <w:tcPr>
            <w:tcW w:type="dxa" w:w="1755"/>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1.000</w:t>
            </w:r>
          </w:p>
        </w:tc>
        <w:tc>
          <w:tcPr>
            <w:tcW w:type="dxa" w:w="1755"/>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1.000</w:t>
            </w:r>
          </w:p>
        </w:tc>
        <w:tc>
          <w:tcPr>
            <w:tcW w:type="dxa" w:w="1755"/>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1.000</w:t>
            </w:r>
          </w:p>
        </w:tc>
        <w:tc>
          <w:tcPr>
            <w:tcW w:type="dxa" w:w="1755"/>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1.000</w:t>
            </w:r>
          </w:p>
        </w:tc>
      </w:tr>
    </w:tbl>
    <w:p>
      <w:pPr>
        <w:spacing w:after="60" w:before="0"/>
      </w:pPr>
      <w:r>
        <w:t xml:space="preserve"/>
      </w:r>
    </w:p>
    <w:p>
      <w:pPr>
        <w:spacing w:after="100" w:before="80"/>
      </w:pPr>
      <w:r>
        <w:rPr>
          <w:rFonts w:ascii="Calibri" w:cs="Calibri" w:eastAsia="Calibri" w:hAnsi="Calibri"/>
          <w:color w:val="374151"/>
          <w:sz w:val="22"/>
          <w:szCs w:val="22"/>
        </w:rPr>
        <w:t xml:space="preserve">The model achieves a perfect ROC-AUC of 1.0 on both splits, meaning it perfectly ranks at-risk students above non-at-risk students. A validation F1 of 0.977 (precision 0.955, recall 1.000) shows that while one false positive may occur, no at-risk student is missed — the correct priority for an early-warning system. Perfect test set scores reflect the high discriminative power of grade-based features on this dataset.</w:t>
      </w:r>
    </w:p>
    <w:p>
      <w:pPr>
        <w:spacing w:after="60" w:before="0"/>
      </w:pPr>
      <w:r>
        <w:t xml:space="preserve"/>
      </w:r>
    </w:p>
    <w:p>
      <w:pPr>
        <w:spacing w:after="100" w:before="80"/>
      </w:pPr>
      <w:r>
        <w:rPr>
          <w:rFonts w:ascii="Calibri" w:cs="Calibri" w:eastAsia="Calibri" w:hAnsi="Calibri"/>
          <w:color w:val="374151"/>
          <w:sz w:val="22"/>
          <w:szCs w:val="22"/>
        </w:rPr>
        <w:t xml:space="preserve">Note: These results are on a relatively small dataset (395 records). Cross-institution validation on larger and more diverse student populations is recommended before generalising these metrics.</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7.4 SHAP Explainability (Goal 2)</w:t>
      </w:r>
    </w:p>
    <w:p>
      <w:pPr>
        <w:spacing w:after="100" w:before="80"/>
      </w:pPr>
      <w:r>
        <w:rPr>
          <w:rFonts w:ascii="Calibri" w:cs="Calibri" w:eastAsia="Calibri" w:hAnsi="Calibri"/>
          <w:color w:val="374151"/>
          <w:sz w:val="22"/>
          <w:szCs w:val="22"/>
        </w:rPr>
        <w:t xml:space="preserve">SHAP (SHapley Additive exPlanations) is integrated as a first-class component of the pipeline, directly addressing Goal 2 of the project brief — making predictions trustworthy and actionable for non-technical faculty.</w:t>
      </w:r>
    </w:p>
    <w:p>
      <w:pPr>
        <w:spacing w:after="60" w:before="0"/>
      </w:pPr>
      <w:r>
        <w:t xml:space="preserve"/>
      </w:r>
    </w:p>
    <w:p>
      <w:pPr>
        <w:spacing w:after="100" w:before="80"/>
      </w:pPr>
      <w:r>
        <w:rPr>
          <w:rFonts w:ascii="Calibri" w:cs="Calibri" w:eastAsia="Calibri" w:hAnsi="Calibri"/>
          <w:color w:val="374151"/>
          <w:sz w:val="22"/>
          <w:szCs w:val="22"/>
        </w:rPr>
        <w:t xml:space="preserve">The SHAPExplainer class uses shap.TreeExplainer, which computes exact Shapley values for tree-based models without approximation. For each student:</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A signed contribution vector is computed — one value per feature — showing whether each feature increases or decreases the predicted failure probability.</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Contributions are ranked by absolute magnitude; the top risk factors (positive SHAP) and protective factors (negative SHAP) are extracted separately.</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A plain-English explanation is auto-generated for faculty: e.g. 'This student has a 73% predicted failure risk. Main risk factors: Number of school absences (+0.42), Number of past class failures (+0.31). Protective factors: Weekly study time (−0.18).'</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A colour-coded horizontal waterfall chart is rendered (red bars = risk-increasing factors, blue = protective), exported as a base64 PNG for inline display in the React dashboard.</w:t>
      </w:r>
    </w:p>
    <w:p>
      <w:pPr>
        <w:spacing w:after="60" w:before="0"/>
      </w:pPr>
      <w:r>
        <w:t xml:space="preserve"/>
      </w:r>
    </w:p>
    <w:p>
      <w:pPr>
        <w:spacing w:after="100" w:before="80"/>
      </w:pPr>
      <w:r>
        <w:rPr>
          <w:rFonts w:ascii="Calibri" w:cs="Calibri" w:eastAsia="Calibri" w:hAnsi="Calibri"/>
          <w:color w:val="374151"/>
          <w:sz w:val="22"/>
          <w:szCs w:val="22"/>
        </w:rPr>
        <w:t xml:space="preserve">The following features are tracked and given human-readable labels in the SHAP output: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Feature</w:t>
            </w:r>
          </w:p>
        </w:tc>
        <w:tc>
          <w:tcPr>
            <w:tcW w:type="dxa" w:w="65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Faculty-Facing Label</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absences</w:t>
            </w:r>
          </w:p>
        </w:tc>
        <w:tc>
          <w:tcPr>
            <w:tcW w:type="dxa" w:w="6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Number of school absences</w:t>
            </w:r>
          </w:p>
        </w:tc>
      </w:tr>
      <w:tr>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failures</w:t>
            </w:r>
          </w:p>
        </w:tc>
        <w:tc>
          <w:tcPr>
            <w:tcW w:type="dxa" w:w="6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Number of past class failures</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avg_grade</w:t>
            </w:r>
          </w:p>
        </w:tc>
        <w:tc>
          <w:tcPr>
            <w:tcW w:type="dxa" w:w="6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Average grade across terms</w:t>
            </w:r>
          </w:p>
        </w:tc>
      </w:tr>
      <w:tr>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grade_trend</w:t>
            </w:r>
          </w:p>
        </w:tc>
        <w:tc>
          <w:tcPr>
            <w:tcW w:type="dxa" w:w="6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Grade trend (improvement/decline)</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studytime</w:t>
            </w:r>
          </w:p>
        </w:tc>
        <w:tc>
          <w:tcPr>
            <w:tcW w:type="dxa" w:w="6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Weekly study time</w:t>
            </w:r>
          </w:p>
        </w:tc>
      </w:tr>
      <w:tr>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study_efficiency</w:t>
            </w:r>
          </w:p>
        </w:tc>
        <w:tc>
          <w:tcPr>
            <w:tcW w:type="dxa" w:w="6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Study efficiency score</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alcohol_index</w:t>
            </w:r>
          </w:p>
        </w:tc>
        <w:tc>
          <w:tcPr>
            <w:tcW w:type="dxa" w:w="6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Alcohol consumption index</w:t>
            </w:r>
          </w:p>
        </w:tc>
      </w:tr>
      <w:tr>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health</w:t>
            </w:r>
          </w:p>
        </w:tc>
        <w:tc>
          <w:tcPr>
            <w:tcW w:type="dxa" w:w="6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Current health status</w:t>
            </w:r>
          </w:p>
        </w:tc>
      </w:tr>
      <w:tr>
        <w:tc>
          <w:tcPr>
            <w:tcW w:type="dxa" w:w="2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famrel</w:t>
            </w:r>
          </w:p>
        </w:tc>
        <w:tc>
          <w:tcPr>
            <w:tcW w:type="dxa" w:w="6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Family relationship quality</w:t>
            </w:r>
          </w:p>
        </w:tc>
      </w:tr>
      <w:tr>
        <w:tc>
          <w:tcPr>
            <w:tcW w:type="dxa" w:w="2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higher</w:t>
            </w:r>
          </w:p>
        </w:tc>
        <w:tc>
          <w:tcPr>
            <w:tcW w:type="dxa" w:w="6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Wants higher education</w:t>
            </w:r>
          </w:p>
        </w:tc>
      </w:tr>
    </w:tbl>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8. Personalised Intervention Engine (Goal 3)</w:t>
      </w:r>
    </w:p>
    <w:p>
      <w:pPr>
        <w:spacing w:after="100" w:before="80"/>
      </w:pPr>
      <w:r>
        <w:rPr>
          <w:rFonts w:ascii="Calibri" w:cs="Calibri" w:eastAsia="Calibri" w:hAnsi="Calibri"/>
          <w:color w:val="374151"/>
          <w:sz w:val="22"/>
          <w:szCs w:val="22"/>
        </w:rPr>
        <w:t xml:space="preserve">The rule-based intervention engine (interventions.py) fulfils Goal 3 by mapping each student's specific feature values and SHAP explanations to a prioritised, categorised action plan. This ensures interventions are tailored to the individual student's profile — not generic alerts.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Category</w:t>
            </w:r>
          </w:p>
        </w:tc>
        <w:tc>
          <w:tcPr>
            <w:tcW w:type="dxa" w:w="21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Trigger Condition</w:t>
            </w:r>
          </w:p>
        </w:tc>
        <w:tc>
          <w:tcPr>
            <w:tcW w:type="dxa" w:w="11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Priority</w:t>
            </w:r>
          </w:p>
        </w:tc>
        <w:tc>
          <w:tcPr>
            <w:tcW w:type="dxa" w:w="44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Example Action</w:t>
            </w:r>
          </w:p>
        </w:tc>
      </w:tr>
      <w:tr>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Attendance</w:t>
            </w:r>
          </w:p>
        </w:tc>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absences &gt; 15</w:t>
            </w:r>
          </w:p>
        </w:tc>
        <w:tc>
          <w:tcPr>
            <w:tcW w:type="dxa" w:w="1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High</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Schedule immediate meeting with student and guardian</w:t>
            </w:r>
          </w:p>
        </w:tc>
      </w:tr>
      <w:tr>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Attendance</w:t>
            </w:r>
          </w:p>
        </w:tc>
        <w:tc>
          <w:tcPr>
            <w:tcW w:type="dxa" w:w="2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absences &gt; 5</w:t>
            </w:r>
          </w:p>
        </w:tc>
        <w:tc>
          <w:tcPr>
            <w:tcW w:type="dxa" w:w="1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Medium</w:t>
            </w:r>
          </w:p>
        </w:tc>
        <w:tc>
          <w:tcPr>
            <w:tcW w:type="dxa" w:w="44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Send attendance warning letter; log for 2 weeks</w:t>
            </w:r>
          </w:p>
        </w:tc>
      </w:tr>
      <w:tr>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Academic Support</w:t>
            </w:r>
          </w:p>
        </w:tc>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failures ≥ 2</w:t>
            </w:r>
          </w:p>
        </w:tc>
        <w:tc>
          <w:tcPr>
            <w:tcW w:type="dxa" w:w="1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High</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Enrol in remedial classes; assign academic mentor</w:t>
            </w:r>
          </w:p>
        </w:tc>
      </w:tr>
      <w:tr>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Academic Support</w:t>
            </w:r>
          </w:p>
        </w:tc>
        <w:tc>
          <w:tcPr>
            <w:tcW w:type="dxa" w:w="2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failures = 1</w:t>
            </w:r>
          </w:p>
        </w:tc>
        <w:tc>
          <w:tcPr>
            <w:tcW w:type="dxa" w:w="1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Medium</w:t>
            </w:r>
          </w:p>
        </w:tc>
        <w:tc>
          <w:tcPr>
            <w:tcW w:type="dxa" w:w="44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Offer extra tutoring; review study habits</w:t>
            </w:r>
          </w:p>
        </w:tc>
      </w:tr>
      <w:tr>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Academic Support</w:t>
            </w:r>
          </w:p>
        </w:tc>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Grade SHAP &gt; 0.1</w:t>
            </w:r>
          </w:p>
        </w:tc>
        <w:tc>
          <w:tcPr>
            <w:tcW w:type="dxa" w:w="1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High</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Identify weakest subjects; assign targeted support</w:t>
            </w:r>
          </w:p>
        </w:tc>
      </w:tr>
      <w:tr>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Study Habits</w:t>
            </w:r>
          </w:p>
        </w:tc>
        <w:tc>
          <w:tcPr>
            <w:tcW w:type="dxa" w:w="2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studytime ≤ 1</w:t>
            </w:r>
          </w:p>
        </w:tc>
        <w:tc>
          <w:tcPr>
            <w:tcW w:type="dxa" w:w="1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Medium</w:t>
            </w:r>
          </w:p>
        </w:tc>
        <w:tc>
          <w:tcPr>
            <w:tcW w:type="dxa" w:w="44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Connect with study skills counsellor; provide study plan</w:t>
            </w:r>
          </w:p>
        </w:tc>
      </w:tr>
      <w:tr>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Wellbeing</w:t>
            </w:r>
          </w:p>
        </w:tc>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alcohol_index &gt; 2.5</w:t>
            </w:r>
          </w:p>
        </w:tc>
        <w:tc>
          <w:tcPr>
            <w:tcW w:type="dxa" w:w="1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High</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Refer to school counsellor; engage guardian confidentially</w:t>
            </w:r>
          </w:p>
        </w:tc>
      </w:tr>
      <w:tr>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Wellbeing</w:t>
            </w:r>
          </w:p>
        </w:tc>
        <w:tc>
          <w:tcPr>
            <w:tcW w:type="dxa" w:w="2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health ≤ 2</w:t>
            </w:r>
          </w:p>
        </w:tc>
        <w:tc>
          <w:tcPr>
            <w:tcW w:type="dxa" w:w="1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Medium</w:t>
            </w:r>
          </w:p>
        </w:tc>
        <w:tc>
          <w:tcPr>
            <w:tcW w:type="dxa" w:w="44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Refer to school nurse; consider flexible deadlines</w:t>
            </w:r>
          </w:p>
        </w:tc>
      </w:tr>
      <w:tr>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Family Support</w:t>
            </w:r>
          </w:p>
        </w:tc>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famrel ≤ 2</w:t>
            </w:r>
          </w:p>
        </w:tc>
        <w:tc>
          <w:tcPr>
            <w:tcW w:type="dxa" w:w="1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Medium</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Schedule parent-teacher meeting; engage social worker</w:t>
            </w:r>
          </w:p>
        </w:tc>
      </w:tr>
      <w:tr>
        <w:tc>
          <w:tcPr>
            <w:tcW w:type="dxa" w:w="17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Resources</w:t>
            </w:r>
          </w:p>
        </w:tc>
        <w:tc>
          <w:tcPr>
            <w:tcW w:type="dxa" w:w="2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internet = 0</w:t>
            </w:r>
          </w:p>
        </w:tc>
        <w:tc>
          <w:tcPr>
            <w:tcW w:type="dxa" w:w="11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Low</w:t>
            </w:r>
          </w:p>
        </w:tc>
        <w:tc>
          <w:tcPr>
            <w:tcW w:type="dxa" w:w="44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Provide computer lab access during free periods</w:t>
            </w:r>
          </w:p>
        </w:tc>
      </w:tr>
      <w:tr>
        <w:tc>
          <w:tcPr>
            <w:tcW w:type="dxa" w:w="17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Motivation</w:t>
            </w:r>
          </w:p>
        </w:tc>
        <w:tc>
          <w:tcPr>
            <w:tcW w:type="dxa" w:w="2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higher = 0</w:t>
            </w:r>
          </w:p>
        </w:tc>
        <w:tc>
          <w:tcPr>
            <w:tcW w:type="dxa" w:w="11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Medium</w:t>
            </w:r>
          </w:p>
        </w:tc>
        <w:tc>
          <w:tcPr>
            <w:tcW w:type="dxa" w:w="44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Career counselling session to explore goals</w:t>
            </w:r>
          </w:p>
        </w:tc>
      </w:tr>
    </w:tbl>
    <w:p>
      <w:pPr>
        <w:spacing w:after="60" w:before="0"/>
      </w:pPr>
      <w:r>
        <w:t xml:space="preserve"/>
      </w:r>
    </w:p>
    <w:p>
      <w:pPr>
        <w:spacing w:after="100" w:before="80"/>
      </w:pPr>
      <w:r>
        <w:rPr>
          <w:rFonts w:ascii="Calibri" w:cs="Calibri" w:eastAsia="Calibri" w:hAnsi="Calibri"/>
          <w:color w:val="374151"/>
          <w:sz w:val="22"/>
          <w:szCs w:val="22"/>
        </w:rPr>
        <w:t xml:space="preserve">Rules are de-duplicated by category — keeping the highest-priority action if multiple rules from the same category trigger — and then sorted by priority (High → Medium → Low). Each action includes a structured follow-up schedule. If no rule triggers but the risk score exceeds 50%, a fallback one-on-one meeting is inserted automatically.</w:t>
      </w:r>
    </w:p>
    <w:p>
      <w:pPr>
        <w:spacing w:after="60" w:before="0"/>
      </w:pPr>
      <w:r>
        <w:t xml:space="preserve"/>
      </w:r>
    </w:p>
    <w:p>
      <w:pPr>
        <w:spacing w:after="100" w:before="80"/>
      </w:pPr>
      <w:r>
        <w:rPr>
          <w:rFonts w:ascii="Calibri" w:cs="Calibri" w:eastAsia="Calibri" w:hAnsi="Calibri"/>
          <w:color w:val="374151"/>
          <w:sz w:val="22"/>
          <w:szCs w:val="22"/>
        </w:rPr>
        <w:t xml:space="preserve">The generated plan includes a natural-language summary paragraph (e.g. 'Student X is flagged as High risk with a predicted failure probability of 78%. Immediate action required in: Attendance, Academic Support. Medium-priority areas: Study Habits.'), which is stored in the database and surfaced on the dashboard.</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9. Backend API</w:t>
      </w:r>
    </w:p>
    <w:p>
      <w:pPr>
        <w:pStyle w:val="Heading2"/>
        <w:spacing w:after="120" w:before="280"/>
      </w:pPr>
      <w:r>
        <w:rPr>
          <w:rFonts w:ascii="Calibri" w:cs="Calibri" w:eastAsia="Calibri" w:hAnsi="Calibri"/>
          <w:b/>
          <w:bCs/>
          <w:color w:val="1D6FA4"/>
          <w:sz w:val="24"/>
          <w:szCs w:val="24"/>
        </w:rPr>
        <w:t xml:space="preserve">9.1 Framework &amp; Design</w:t>
      </w:r>
    </w:p>
    <w:p>
      <w:pPr>
        <w:spacing w:after="100" w:before="80"/>
      </w:pPr>
      <w:r>
        <w:rPr>
          <w:rFonts w:ascii="Calibri" w:cs="Calibri" w:eastAsia="Calibri" w:hAnsi="Calibri"/>
          <w:color w:val="374151"/>
          <w:sz w:val="22"/>
          <w:szCs w:val="22"/>
        </w:rPr>
        <w:t xml:space="preserve">The backend is a FastAPI application with four router modules, Pydantic v2 for request/response validation, and SQLAlchemy ORM for PostgreSQL persistence. The application uses an asynccontextmanager lifespan event to initialise database tables and load the ML model on startup, ensuring the model is warm before the first request.</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9.2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1200"/>
        <w:gridCol w:w="4560"/>
      </w:tblGrid>
      <w:tr>
        <w:trPr>
          <w:tblHeader/>
        </w:trPr>
        <w:tc>
          <w:tcPr>
            <w:tcW w:type="dxa" w:w="72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Method</w:t>
            </w:r>
          </w:p>
        </w:tc>
        <w:tc>
          <w:tcPr>
            <w:tcW w:type="dxa" w:w="288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Endpoint</w:t>
            </w:r>
          </w:p>
        </w:tc>
        <w:tc>
          <w:tcPr>
            <w:tcW w:type="dxa" w:w="12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Auth Required</w:t>
            </w:r>
          </w:p>
        </w:tc>
        <w:tc>
          <w:tcPr>
            <w:tcW w:type="dxa" w:w="45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Description</w:t>
            </w:r>
          </w:p>
        </w:tc>
      </w:tr>
      <w:tr>
        <w:tc>
          <w:tcPr>
            <w:tcW w:type="dxa" w:w="72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POST</w:t>
            </w:r>
          </w:p>
        </w:tc>
        <w:tc>
          <w:tcPr>
            <w:tcW w:type="dxa" w:w="288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/api/auth/register</w:t>
            </w:r>
          </w:p>
        </w:tc>
        <w:tc>
          <w:tcPr>
            <w:tcW w:type="dxa" w:w="12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No</w:t>
            </w:r>
          </w:p>
        </w:tc>
        <w:tc>
          <w:tcPr>
            <w:tcW w:type="dxa" w:w="4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Register a new faculty or HOD user</w:t>
            </w:r>
          </w:p>
        </w:tc>
      </w:tr>
      <w:tr>
        <w:tc>
          <w:tcPr>
            <w:tcW w:type="dxa" w:w="72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POST</w:t>
            </w:r>
          </w:p>
        </w:tc>
        <w:tc>
          <w:tcPr>
            <w:tcW w:type="dxa" w:w="288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/api/auth/login</w:t>
            </w:r>
          </w:p>
        </w:tc>
        <w:tc>
          <w:tcPr>
            <w:tcW w:type="dxa" w:w="1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No</w:t>
            </w:r>
          </w:p>
        </w:tc>
        <w:tc>
          <w:tcPr>
            <w:tcW w:type="dxa" w:w="4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Authenticate and receive a JWT bearer token</w:t>
            </w:r>
          </w:p>
        </w:tc>
      </w:tr>
      <w:tr>
        <w:tc>
          <w:tcPr>
            <w:tcW w:type="dxa" w:w="72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GET</w:t>
            </w:r>
          </w:p>
        </w:tc>
        <w:tc>
          <w:tcPr>
            <w:tcW w:type="dxa" w:w="288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/api/auth/me</w:t>
            </w:r>
          </w:p>
        </w:tc>
        <w:tc>
          <w:tcPr>
            <w:tcW w:type="dxa" w:w="12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Yes</w:t>
            </w:r>
          </w:p>
        </w:tc>
        <w:tc>
          <w:tcPr>
            <w:tcW w:type="dxa" w:w="4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Return the currently authenticated user's profile</w:t>
            </w:r>
          </w:p>
        </w:tc>
      </w:tr>
      <w:tr>
        <w:tc>
          <w:tcPr>
            <w:tcW w:type="dxa" w:w="72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POST</w:t>
            </w:r>
          </w:p>
        </w:tc>
        <w:tc>
          <w:tcPr>
            <w:tcW w:type="dxa" w:w="288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/api/predict/</w:t>
            </w:r>
          </w:p>
        </w:tc>
        <w:tc>
          <w:tcPr>
            <w:tcW w:type="dxa" w:w="1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Yes</w:t>
            </w:r>
          </w:p>
        </w:tc>
        <w:tc>
          <w:tcPr>
            <w:tcW w:type="dxa" w:w="4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Run prediction on a JSON list of student records</w:t>
            </w:r>
          </w:p>
        </w:tc>
      </w:tr>
      <w:tr>
        <w:tc>
          <w:tcPr>
            <w:tcW w:type="dxa" w:w="72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POST</w:t>
            </w:r>
          </w:p>
        </w:tc>
        <w:tc>
          <w:tcPr>
            <w:tcW w:type="dxa" w:w="288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/api/predict/upload-csv</w:t>
            </w:r>
          </w:p>
        </w:tc>
        <w:tc>
          <w:tcPr>
            <w:tcW w:type="dxa" w:w="12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Yes</w:t>
            </w:r>
          </w:p>
        </w:tc>
        <w:tc>
          <w:tcPr>
            <w:tcW w:type="dxa" w:w="4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Run prediction on an uploaded CSV file (batch)</w:t>
            </w:r>
          </w:p>
        </w:tc>
      </w:tr>
      <w:tr>
        <w:tc>
          <w:tcPr>
            <w:tcW w:type="dxa" w:w="72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GET</w:t>
            </w:r>
          </w:p>
        </w:tc>
        <w:tc>
          <w:tcPr>
            <w:tcW w:type="dxa" w:w="288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/api/dashboard/stats</w:t>
            </w:r>
          </w:p>
        </w:tc>
        <w:tc>
          <w:tcPr>
            <w:tcW w:type="dxa" w:w="1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Yes</w:t>
            </w:r>
          </w:p>
        </w:tc>
        <w:tc>
          <w:tcPr>
            <w:tcW w:type="dxa" w:w="4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Aggregate dashboard statistics (risk counts, intervention status)</w:t>
            </w:r>
          </w:p>
        </w:tc>
      </w:tr>
      <w:tr>
        <w:tc>
          <w:tcPr>
            <w:tcW w:type="dxa" w:w="72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GET</w:t>
            </w:r>
          </w:p>
        </w:tc>
        <w:tc>
          <w:tcPr>
            <w:tcW w:type="dxa" w:w="288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/api/dashboard/students</w:t>
            </w:r>
          </w:p>
        </w:tc>
        <w:tc>
          <w:tcPr>
            <w:tcW w:type="dxa" w:w="12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Yes</w:t>
            </w:r>
          </w:p>
        </w:tc>
        <w:tc>
          <w:tcPr>
            <w:tcW w:type="dxa" w:w="4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Filterable student risk list, sorted by risk score</w:t>
            </w:r>
          </w:p>
        </w:tc>
      </w:tr>
      <w:tr>
        <w:tc>
          <w:tcPr>
            <w:tcW w:type="dxa" w:w="72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GET</w:t>
            </w:r>
          </w:p>
        </w:tc>
        <w:tc>
          <w:tcPr>
            <w:tcW w:type="dxa" w:w="288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/api/dashboard/student/{id}</w:t>
            </w:r>
          </w:p>
        </w:tc>
        <w:tc>
          <w:tcPr>
            <w:tcW w:type="dxa" w:w="1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Yes</w:t>
            </w:r>
          </w:p>
        </w:tc>
        <w:tc>
          <w:tcPr>
            <w:tcW w:type="dxa" w:w="4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Full prediction history and interventions for one student</w:t>
            </w:r>
          </w:p>
        </w:tc>
      </w:tr>
      <w:tr>
        <w:tc>
          <w:tcPr>
            <w:tcW w:type="dxa" w:w="72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GET</w:t>
            </w:r>
          </w:p>
        </w:tc>
        <w:tc>
          <w:tcPr>
            <w:tcW w:type="dxa" w:w="288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/api/interventions/</w:t>
            </w:r>
          </w:p>
        </w:tc>
        <w:tc>
          <w:tcPr>
            <w:tcW w:type="dxa" w:w="12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Yes</w:t>
            </w:r>
          </w:p>
        </w:tc>
        <w:tc>
          <w:tcPr>
            <w:tcW w:type="dxa" w:w="4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List all interventions, filterable by status</w:t>
            </w:r>
          </w:p>
        </w:tc>
      </w:tr>
      <w:tr>
        <w:tc>
          <w:tcPr>
            <w:tcW w:type="dxa" w:w="72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PATCH</w:t>
            </w:r>
          </w:p>
        </w:tc>
        <w:tc>
          <w:tcPr>
            <w:tcW w:type="dxa" w:w="288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/api/interventions/{id}</w:t>
            </w:r>
          </w:p>
        </w:tc>
        <w:tc>
          <w:tcPr>
            <w:tcW w:type="dxa" w:w="12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Yes</w:t>
            </w:r>
          </w:p>
        </w:tc>
        <w:tc>
          <w:tcPr>
            <w:tcW w:type="dxa" w:w="45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Update intervention status or add faculty notes</w:t>
            </w:r>
          </w:p>
        </w:tc>
      </w:tr>
      <w:tr>
        <w:tc>
          <w:tcPr>
            <w:tcW w:type="dxa" w:w="72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GET</w:t>
            </w:r>
          </w:p>
        </w:tc>
        <w:tc>
          <w:tcPr>
            <w:tcW w:type="dxa" w:w="288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/health</w:t>
            </w:r>
          </w:p>
        </w:tc>
        <w:tc>
          <w:tcPr>
            <w:tcW w:type="dxa" w:w="12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No</w:t>
            </w:r>
          </w:p>
        </w:tc>
        <w:tc>
          <w:tcPr>
            <w:tcW w:type="dxa" w:w="45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Health check — confirms model load status</w:t>
            </w:r>
          </w:p>
        </w:tc>
      </w:tr>
    </w:tbl>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9.3 Database Models</w:t>
      </w:r>
    </w:p>
    <w:p>
      <w:pPr>
        <w:spacing w:after="100" w:before="80"/>
      </w:pPr>
      <w:r>
        <w:rPr>
          <w:rFonts w:ascii="Calibri" w:cs="Calibri" w:eastAsia="Calibri" w:hAnsi="Calibri"/>
          <w:color w:val="374151"/>
          <w:sz w:val="22"/>
          <w:szCs w:val="22"/>
        </w:rPr>
        <w:t xml:space="preserve">Five SQLAlchemy models define the persistence layer:</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User — Faculty, HOD, and admin accounts with role field and department assignment.</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Student — One record per student, linked to the faculty member who uploaded them.</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Prediction — One row per inference run: risk score, risk level, SHAP values (JSON), explanation text, raw feature snapshot.</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Intervention — One row per prediction: action plan (JSON), lifecycle status (pending / in_progress / completed), and faculty notes.</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Upload — Audit record of each CSV batch upload: filename, uploader, record count, and at-risk count.</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9.4 Authentication</w:t>
      </w:r>
    </w:p>
    <w:p>
      <w:pPr>
        <w:spacing w:after="100" w:before="80"/>
      </w:pPr>
      <w:r>
        <w:rPr>
          <w:rFonts w:ascii="Calibri" w:cs="Calibri" w:eastAsia="Calibri" w:hAnsi="Calibri"/>
          <w:color w:val="374151"/>
          <w:sz w:val="22"/>
          <w:szCs w:val="22"/>
        </w:rPr>
        <w:t xml:space="preserve">JWT tokens are issued on login (HS256 algorithm, python-jose library) and must be included as a Bearer token on all protected routes. Passwords are hashed with bcrypt. A get_current_user FastAPI dependency validates every request, and a require_role dependency gates admin-only routes. HOD vs. faculty data scoping is enforced at the SQL query level.</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10. Frontend Dashboard (Goal 4)</w:t>
      </w:r>
    </w:p>
    <w:p>
      <w:pPr>
        <w:pStyle w:val="Heading2"/>
        <w:spacing w:after="120" w:before="280"/>
      </w:pPr>
      <w:r>
        <w:rPr>
          <w:rFonts w:ascii="Calibri" w:cs="Calibri" w:eastAsia="Calibri" w:hAnsi="Calibri"/>
          <w:b/>
          <w:bCs/>
          <w:color w:val="1D6FA4"/>
          <w:sz w:val="24"/>
          <w:szCs w:val="24"/>
        </w:rPr>
        <w:t xml:space="preserve">10.1 Architecture</w:t>
      </w:r>
    </w:p>
    <w:p>
      <w:pPr>
        <w:spacing w:after="100" w:before="80"/>
      </w:pPr>
      <w:r>
        <w:rPr>
          <w:rFonts w:ascii="Calibri" w:cs="Calibri" w:eastAsia="Calibri" w:hAnsi="Calibri"/>
          <w:color w:val="374151"/>
          <w:sz w:val="22"/>
          <w:szCs w:val="22"/>
        </w:rPr>
        <w:t xml:space="preserve">The frontend is a React 18 single-page application built with Vite. All state is managed with React hooks (useState, useEffect, useRef). A useAuth hook manages the JWT token and authenticated user context across screens. An api.js service module centralises all backend API calls and automatically attaches the Bearer token header.</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10.2 Screens &amp; Features</w:t>
      </w:r>
    </w:p>
    <w:p>
      <w:pPr>
        <w:spacing w:after="60" w:before="0"/>
      </w:pPr>
      <w:r>
        <w:t xml:space="preserve"/>
      </w:r>
    </w:p>
    <w:p>
      <w:pPr>
        <w:pStyle w:val="Heading3"/>
        <w:spacing w:after="80" w:before="200"/>
      </w:pPr>
      <w:r>
        <w:rPr>
          <w:rFonts w:ascii="Calibri" w:cs="Calibri" w:eastAsia="Calibri" w:hAnsi="Calibri"/>
          <w:b/>
          <w:bCs/>
          <w:color w:val="0F2D4A"/>
          <w:sz w:val="22"/>
          <w:szCs w:val="22"/>
        </w:rPr>
        <w:t xml:space="preserve">Login Screen</w:t>
      </w:r>
    </w:p>
    <w:p>
      <w:pPr>
        <w:spacing w:after="100" w:before="80"/>
      </w:pPr>
      <w:r>
        <w:rPr>
          <w:rFonts w:ascii="Calibri" w:cs="Calibri" w:eastAsia="Calibri" w:hAnsi="Calibri"/>
          <w:color w:val="374151"/>
          <w:sz w:val="22"/>
          <w:szCs w:val="22"/>
        </w:rPr>
        <w:t xml:space="preserve">Secure email/password login form with inline error display. JWT token is stored in memory and attached to all subsequent requests. A demo account hint is displayed for evaluators.</w:t>
      </w:r>
    </w:p>
    <w:p>
      <w:pPr>
        <w:pStyle w:val="Heading3"/>
        <w:spacing w:after="80" w:before="200"/>
      </w:pPr>
      <w:r>
        <w:rPr>
          <w:rFonts w:ascii="Calibri" w:cs="Calibri" w:eastAsia="Calibri" w:hAnsi="Calibri"/>
          <w:b/>
          <w:bCs/>
          <w:color w:val="0F2D4A"/>
          <w:sz w:val="22"/>
          <w:szCs w:val="22"/>
        </w:rPr>
        <w:t xml:space="preserve">Dashboard Screen</w:t>
      </w:r>
    </w:p>
    <w:p>
      <w:pPr>
        <w:spacing w:after="100" w:before="80"/>
      </w:pPr>
      <w:r>
        <w:rPr>
          <w:rFonts w:ascii="Calibri" w:cs="Calibri" w:eastAsia="Calibri" w:hAnsi="Calibri"/>
          <w:color w:val="374151"/>
          <w:sz w:val="22"/>
          <w:szCs w:val="22"/>
        </w:rPr>
        <w:t xml:space="preserve">The primary HOD and faculty view, addressing Goal 4. Displays four summary stat cards (Total Students, High Risk Students, Pending Interventions, Completed Interventions) that auto-refresh on load. A Recharts bar chart visualises the risk distribution across High / Medium / Low categories. A filterable, sortable student risk table lists all students with inline risk score gauges (colour-coded by level) and current intervention status.</w:t>
      </w:r>
    </w:p>
    <w:p>
      <w:pPr>
        <w:pStyle w:val="Heading3"/>
        <w:spacing w:after="80" w:before="200"/>
      </w:pPr>
      <w:r>
        <w:rPr>
          <w:rFonts w:ascii="Calibri" w:cs="Calibri" w:eastAsia="Calibri" w:hAnsi="Calibri"/>
          <w:b/>
          <w:bCs/>
          <w:color w:val="0F2D4A"/>
          <w:sz w:val="22"/>
          <w:szCs w:val="22"/>
        </w:rPr>
        <w:t xml:space="preserve">Predict Screen</w:t>
      </w:r>
    </w:p>
    <w:p>
      <w:pPr>
        <w:spacing w:after="100" w:before="80"/>
      </w:pPr>
      <w:r>
        <w:rPr>
          <w:rFonts w:ascii="Calibri" w:cs="Calibri" w:eastAsia="Calibri" w:hAnsi="Calibri"/>
          <w:color w:val="374151"/>
          <w:sz w:val="22"/>
          <w:szCs w:val="22"/>
        </w:rPr>
        <w:t xml:space="preserve">Dual-mode prediction interface: faculty can either manually enter student data as JSON or upload a CSV file for batch prediction. Results are displayed as expandable student cards showing the risk score gauge, SHAP waterfall chart, plain-English explanation, and the full intervention action table with priority badges.</w:t>
      </w:r>
    </w:p>
    <w:p>
      <w:pPr>
        <w:pStyle w:val="Heading3"/>
        <w:spacing w:after="80" w:before="200"/>
      </w:pPr>
      <w:r>
        <w:rPr>
          <w:rFonts w:ascii="Calibri" w:cs="Calibri" w:eastAsia="Calibri" w:hAnsi="Calibri"/>
          <w:b/>
          <w:bCs/>
          <w:color w:val="0F2D4A"/>
          <w:sz w:val="22"/>
          <w:szCs w:val="22"/>
        </w:rPr>
        <w:t xml:space="preserve">Student Detail Screen</w:t>
      </w:r>
    </w:p>
    <w:p>
      <w:pPr>
        <w:spacing w:after="100" w:before="80"/>
      </w:pPr>
      <w:r>
        <w:rPr>
          <w:rFonts w:ascii="Calibri" w:cs="Calibri" w:eastAsia="Calibri" w:hAnsi="Calibri"/>
          <w:color w:val="374151"/>
          <w:sz w:val="22"/>
          <w:szCs w:val="22"/>
        </w:rPr>
        <w:t xml:space="preserve">Drills into a single student's full prediction history, allowing faculty to track risk score changes over multiple upload cycles. Each historical prediction is shown with its SHAP contributions and linked intervention record.</w:t>
      </w:r>
    </w:p>
    <w:p>
      <w:pPr>
        <w:pStyle w:val="Heading3"/>
        <w:spacing w:after="80" w:before="200"/>
      </w:pPr>
      <w:r>
        <w:rPr>
          <w:rFonts w:ascii="Calibri" w:cs="Calibri" w:eastAsia="Calibri" w:hAnsi="Calibri"/>
          <w:b/>
          <w:bCs/>
          <w:color w:val="0F2D4A"/>
          <w:sz w:val="22"/>
          <w:szCs w:val="22"/>
        </w:rPr>
        <w:t xml:space="preserve">Interventions Screen</w:t>
      </w:r>
    </w:p>
    <w:p>
      <w:pPr>
        <w:spacing w:after="100" w:before="80"/>
      </w:pPr>
      <w:r>
        <w:rPr>
          <w:rFonts w:ascii="Calibri" w:cs="Calibri" w:eastAsia="Calibri" w:hAnsi="Calibri"/>
          <w:color w:val="374151"/>
          <w:sz w:val="22"/>
          <w:szCs w:val="22"/>
        </w:rPr>
        <w:t xml:space="preserve">A tabbed interface (All / Pending / In Progress / Completed) listing all generated intervention plans. Faculty can update the status of each intervention and add free-text notes directly inline, supporting the monitoring requirement of Goal 4.</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10.3 Design System</w:t>
      </w:r>
    </w:p>
    <w:p>
      <w:pPr>
        <w:spacing w:after="100" w:before="80"/>
      </w:pPr>
      <w:r>
        <w:rPr>
          <w:rFonts w:ascii="Calibri" w:cs="Calibri" w:eastAsia="Calibri" w:hAnsi="Calibri"/>
          <w:color w:val="374151"/>
          <w:sz w:val="22"/>
          <w:szCs w:val="22"/>
        </w:rPr>
        <w:t xml:space="preserve">The UI uses a premium dark-mode design with CSS custom properties for a consistent colour palette: deep navy for structure, electric blue for accent, and semantic red/amber/green for risk levels. Panels use a glassmorphism effect. Risk scores are displayed as animated progress bars with percentage badges. All chart rendering uses Recharts. The built application is served via Nginx in the Docker container.</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11. Deployment &amp; Infrastructure</w:t>
      </w:r>
    </w:p>
    <w:p>
      <w:pPr>
        <w:spacing w:after="100" w:before="80"/>
      </w:pPr>
      <w:r>
        <w:rPr>
          <w:rFonts w:ascii="Calibri" w:cs="Calibri" w:eastAsia="Calibri" w:hAnsi="Calibri"/>
          <w:color w:val="374151"/>
          <w:sz w:val="22"/>
          <w:szCs w:val="22"/>
        </w:rPr>
        <w:t xml:space="preserve">FailSafe is fully containerised with Docker Compose, orchestrating three services: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1000"/>
        <w:gridCol w:w="4280"/>
      </w:tblGrid>
      <w:tr>
        <w:trPr>
          <w:tblHeader/>
        </w:trPr>
        <w:tc>
          <w:tcPr>
            <w:tcW w:type="dxa" w:w="144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Service</w:t>
            </w:r>
          </w:p>
        </w:tc>
        <w:tc>
          <w:tcPr>
            <w:tcW w:type="dxa" w:w="264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Image / Build</w:t>
            </w:r>
          </w:p>
        </w:tc>
        <w:tc>
          <w:tcPr>
            <w:tcW w:type="dxa" w:w="10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Port</w:t>
            </w:r>
          </w:p>
        </w:tc>
        <w:tc>
          <w:tcPr>
            <w:tcW w:type="dxa" w:w="428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Notes</w:t>
            </w:r>
          </w:p>
        </w:tc>
      </w:tr>
      <w:tr>
        <w:tc>
          <w:tcPr>
            <w:tcW w:type="dxa" w:w="144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db</w:t>
            </w:r>
          </w:p>
        </w:tc>
        <w:tc>
          <w:tcPr>
            <w:tcW w:type="dxa" w:w="264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postgres:16-alpine</w:t>
            </w:r>
          </w:p>
        </w:tc>
        <w:tc>
          <w:tcPr>
            <w:tcW w:type="dxa" w:w="10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5432</w:t>
            </w:r>
          </w:p>
        </w:tc>
        <w:tc>
          <w:tcPr>
            <w:tcW w:type="dxa" w:w="428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Health-checked; backend waits on service_healthy condition</w:t>
            </w:r>
          </w:p>
        </w:tc>
      </w:tr>
      <w:tr>
        <w:tc>
          <w:tcPr>
            <w:tcW w:type="dxa" w:w="144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backend</w:t>
            </w:r>
          </w:p>
        </w:tc>
        <w:tc>
          <w:tcPr>
            <w:tcW w:type="dxa" w:w="264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Custom (backend/Dockerfile)</w:t>
            </w:r>
          </w:p>
        </w:tc>
        <w:tc>
          <w:tcPr>
            <w:tcW w:type="dxa" w:w="10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8000</w:t>
            </w:r>
          </w:p>
        </w:tc>
        <w:tc>
          <w:tcPr>
            <w:tcW w:type="dxa" w:w="428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Uvicorn ASGI server; mounts data/ and ml_pipeline/ as volumes</w:t>
            </w:r>
          </w:p>
        </w:tc>
      </w:tr>
      <w:tr>
        <w:tc>
          <w:tcPr>
            <w:tcW w:type="dxa" w:w="144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frontend</w:t>
            </w:r>
          </w:p>
        </w:tc>
        <w:tc>
          <w:tcPr>
            <w:tcW w:type="dxa" w:w="264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Custom (frontend/Dockerfile)</w:t>
            </w:r>
          </w:p>
        </w:tc>
        <w:tc>
          <w:tcPr>
            <w:tcW w:type="dxa" w:w="10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3000</w:t>
            </w:r>
          </w:p>
        </w:tc>
        <w:tc>
          <w:tcPr>
            <w:tcW w:type="dxa" w:w="428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Nginx serving the Vite production build</w:t>
            </w:r>
          </w:p>
        </w:tc>
      </w:tr>
    </w:tbl>
    <w:p>
      <w:pPr>
        <w:spacing w:after="60" w:before="0"/>
      </w:pPr>
      <w:r>
        <w:t xml:space="preserve"/>
      </w:r>
    </w:p>
    <w:p>
      <w:pPr>
        <w:spacing w:after="100" w:before="80"/>
      </w:pPr>
      <w:r>
        <w:rPr>
          <w:rFonts w:ascii="Calibri" w:cs="Calibri" w:eastAsia="Calibri" w:hAnsi="Calibri"/>
          <w:color w:val="374151"/>
          <w:sz w:val="22"/>
          <w:szCs w:val="22"/>
        </w:rPr>
        <w:t xml:space="preserve">All environment variables (DATABASE_URL, SECRET_KEY, model and artefact paths) are injected via docker-compose.yml. PostgreSQL data is persisted in a named Docker volume across container restarts. The ML pipeline artefacts (model.pkl, scaler.pkl, encoders.pkl, feature_cols.pkl) are mounted as bind volumes so the model can be retrained and swapped without rebuilding the container.</w:t>
      </w:r>
    </w:p>
    <w:p>
      <w:pPr>
        <w:spacing w:after="60" w:before="0"/>
      </w:pPr>
      <w:r>
        <w:t xml:space="preserve"/>
      </w:r>
    </w:p>
    <w:p>
      <w:pPr>
        <w:spacing w:after="100" w:before="80"/>
      </w:pPr>
      <w:r>
        <w:rPr>
          <w:rFonts w:ascii="Calibri" w:cs="Calibri" w:eastAsia="Calibri" w:hAnsi="Calibri"/>
          <w:color w:val="374151"/>
          <w:sz w:val="22"/>
          <w:szCs w:val="22"/>
        </w:rPr>
        <w:t xml:space="preserve">Full cold-start deployment: run ml_pipeline/preprocess.py then ml_pipeline/train.py to populate data/, then docker-compose up --build. The backend creates all database tables automatically on startup via SQLAlchemy's create_all.</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12. Testing</w:t>
      </w:r>
    </w:p>
    <w:p>
      <w:pPr>
        <w:spacing w:after="100" w:before="80"/>
      </w:pPr>
      <w:r>
        <w:rPr>
          <w:rFonts w:ascii="Calibri" w:cs="Calibri" w:eastAsia="Calibri" w:hAnsi="Calibri"/>
          <w:color w:val="374151"/>
          <w:sz w:val="22"/>
          <w:szCs w:val="22"/>
        </w:rPr>
        <w:t xml:space="preserve">Backend tests are implemented with pytest across two files in backend/tests/: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Test File</w:t>
            </w:r>
          </w:p>
        </w:tc>
        <w:tc>
          <w:tcPr>
            <w:tcW w:type="dxa" w:w="160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Test Type</w:t>
            </w:r>
          </w:p>
        </w:tc>
        <w:tc>
          <w:tcPr>
            <w:tcW w:type="dxa" w:w="5960"/>
            <w:tcBorders>
              <w:top w:val="single" w:color="C8D9E6" w:sz="1"/>
              <w:left w:val="single" w:color="C8D9E6" w:sz="1"/>
              <w:bottom w:val="single" w:color="C8D9E6" w:sz="1"/>
              <w:right w:val="single" w:color="C8D9E6" w:sz="1"/>
            </w:tcBorders>
            <w:shd w:fill="0F2D4A" w:val="clear"/>
            <w:tcMar>
              <w:top w:type="dxa" w:w="110"/>
              <w:left w:type="dxa" w:w="160"/>
              <w:bottom w:type="dxa" w:w="110"/>
              <w:right w:type="dxa" w:w="160"/>
            </w:tcMar>
          </w:tcPr>
          <w:p>
            <w:r>
              <w:rPr>
                <w:rFonts w:ascii="Calibri" w:cs="Calibri" w:eastAsia="Calibri" w:hAnsi="Calibri"/>
                <w:b/>
                <w:bCs/>
                <w:color w:val="FFFFFF"/>
                <w:sz w:val="20"/>
                <w:szCs w:val="20"/>
              </w:rPr>
              <w:t xml:space="preserve">Coverage</w:t>
            </w:r>
          </w:p>
        </w:tc>
      </w:tr>
      <w:tr>
        <w:tc>
          <w:tcPr>
            <w:tcW w:type="dxa" w:w="18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test_api.py</w:t>
            </w:r>
          </w:p>
        </w:tc>
        <w:tc>
          <w:tcPr>
            <w:tcW w:type="dxa" w:w="160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Integration</w:t>
            </w:r>
          </w:p>
        </w:tc>
        <w:tc>
          <w:tcPr>
            <w:tcW w:type="dxa" w:w="5960"/>
            <w:tcBorders>
              <w:top w:val="single" w:color="C8D9E6" w:sz="1"/>
              <w:left w:val="single" w:color="C8D9E6" w:sz="1"/>
              <w:bottom w:val="single" w:color="C8D9E6" w:sz="1"/>
              <w:right w:val="single" w:color="C8D9E6" w:sz="1"/>
            </w:tcBorders>
            <w:shd w:fill="F0F7FC" w:val="clear"/>
            <w:tcMar>
              <w:top w:type="dxa" w:w="110"/>
              <w:left w:type="dxa" w:w="160"/>
              <w:bottom w:type="dxa" w:w="110"/>
              <w:right w:type="dxa" w:w="160"/>
            </w:tcMar>
          </w:tcPr>
          <w:p>
            <w:r>
              <w:rPr>
                <w:rFonts w:ascii="Calibri" w:cs="Calibri" w:eastAsia="Calibri" w:hAnsi="Calibri"/>
                <w:color w:val="374151"/>
                <w:sz w:val="20"/>
                <w:szCs w:val="20"/>
              </w:rPr>
              <w:t xml:space="preserve">Auth routes (register, login, /me); predict endpoint with mock ML service injected via FastAPI dependency override</w:t>
            </w:r>
          </w:p>
        </w:tc>
      </w:tr>
      <w:tr>
        <w:tc>
          <w:tcPr>
            <w:tcW w:type="dxa" w:w="18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test_ml.py</w:t>
            </w:r>
          </w:p>
        </w:tc>
        <w:tc>
          <w:tcPr>
            <w:tcW w:type="dxa" w:w="160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Unit</w:t>
            </w:r>
          </w:p>
        </w:tc>
        <w:tc>
          <w:tcPr>
            <w:tcW w:type="dxa" w:w="5960"/>
            <w:tcBorders>
              <w:top w:val="single" w:color="C8D9E6" w:sz="1"/>
              <w:left w:val="single" w:color="C8D9E6" w:sz="1"/>
              <w:bottom w:val="single" w:color="C8D9E6" w:sz="1"/>
              <w:right w:val="single" w:color="C8D9E6" w:sz="1"/>
            </w:tcBorders>
            <w:shd w:fill="FFFFFF" w:val="clear"/>
            <w:tcMar>
              <w:top w:type="dxa" w:w="110"/>
              <w:left w:type="dxa" w:w="160"/>
              <w:bottom w:type="dxa" w:w="110"/>
              <w:right w:type="dxa" w:w="160"/>
            </w:tcMar>
          </w:tcPr>
          <w:p>
            <w:r>
              <w:rPr>
                <w:rFonts w:ascii="Calibri" w:cs="Calibri" w:eastAsia="Calibri" w:hAnsi="Calibri"/>
                <w:color w:val="374151"/>
                <w:sz w:val="20"/>
                <w:szCs w:val="20"/>
              </w:rPr>
              <w:t xml:space="preserve">Feature engineering (grade_trend, avg_grade, alcohol_index, absence_level); intervention rule triggering and prioritisation; SHAP explanation text generation</w:t>
            </w:r>
          </w:p>
        </w:tc>
      </w:tr>
    </w:tbl>
    <w:p>
      <w:pPr>
        <w:spacing w:after="60" w:before="0"/>
      </w:pPr>
      <w:r>
        <w:t xml:space="preserve"/>
      </w:r>
    </w:p>
    <w:p>
      <w:pPr>
        <w:spacing w:after="100" w:before="80"/>
      </w:pPr>
      <w:r>
        <w:rPr>
          <w:rFonts w:ascii="Calibri" w:cs="Calibri" w:eastAsia="Calibri" w:hAnsi="Calibri"/>
          <w:color w:val="374151"/>
          <w:sz w:val="22"/>
          <w:szCs w:val="22"/>
        </w:rPr>
        <w:t xml:space="preserve">Run all tests with: pytest tests/ -v from the backend/ directory. No frontend tests currently exist; adding Vitest (component) or Playwright (end-to-end) tests is recommended.</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13. Observations &amp; Recommendations</w:t>
      </w:r>
    </w:p>
    <w:p>
      <w:pPr>
        <w:pStyle w:val="Heading2"/>
        <w:spacing w:after="120" w:before="280"/>
      </w:pPr>
      <w:r>
        <w:rPr>
          <w:rFonts w:ascii="Calibri" w:cs="Calibri" w:eastAsia="Calibri" w:hAnsi="Calibri"/>
          <w:b/>
          <w:bCs/>
          <w:color w:val="1D6FA4"/>
          <w:sz w:val="24"/>
          <w:szCs w:val="24"/>
        </w:rPr>
        <w:t xml:space="preserve">13.1 Strengths</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All four project goals are fully implemented — prediction, explainability, personalised interventions, and a tracking dashboard.</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Clean separation of concerns: ML pipeline, backend API, and frontend are independently deployable and testable.</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SHAP explainability is a first-class citizen — values are translated into plain English and visual charts for non-technical faculty, not just stored internally.</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Role-based access control (Faculty / HOD / Admin) is built in from the start and enforced at the database layer.</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The intervention engine produces immediately actionable, category-specific plans with structured follow-up schedules — not generic risk alerts.</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Full Docker Compose deployment makes the system reproducible and easy for any institution with Docker installed to run.</w:t>
      </w:r>
    </w:p>
    <w:p>
      <w:pPr>
        <w:spacing w:after="60" w:before="0"/>
      </w:pPr>
      <w:r>
        <w:t xml:space="preserve"/>
      </w:r>
    </w:p>
    <w:p>
      <w:pPr>
        <w:pStyle w:val="Heading2"/>
        <w:spacing w:after="120" w:before="280"/>
      </w:pPr>
      <w:r>
        <w:rPr>
          <w:rFonts w:ascii="Calibri" w:cs="Calibri" w:eastAsia="Calibri" w:hAnsi="Calibri"/>
          <w:b/>
          <w:bCs/>
          <w:color w:val="1D6FA4"/>
          <w:sz w:val="24"/>
          <w:szCs w:val="24"/>
        </w:rPr>
        <w:t xml:space="preserve">13.2 Recommendations for Improvement</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Broader dataset validation — perfect test metrics on 395 records warrant caution; pilot testing with data from multiple institutions is strongly advised before production rollout.</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Model versioning — there is no current mechanism to track or roll back model versions; integrating MLflow or a lightweight versioning scheme would improve maintainability.</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Secret management — docker-compose.yml hard-codes database credentials and a placeholder SECRET_KEY; production deployments must use Docker secrets, Vault, or a cloud secrets manager.</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CSV input validation — the upload-csv endpoint applies minimal column validation; a schema check against expected feature columns would prevent silent mis-predictions on malformed uploads.</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Frontend testing — no automated UI tests exist; Vitest for component tests and Playwright for end-to-end flows would improve release confidence.</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Database pagination — the /dashboard/students endpoint returns all records in a single query; for institutions with hundreds of students this should be paginated at the database layer.</w:t>
      </w:r>
    </w:p>
    <w:p>
      <w:pPr>
        <w:pStyle w:val="ListParagraph"/>
        <w:numPr>
          <w:ilvl w:val="0"/>
          <w:numId w:val="3"/>
        </w:numPr>
        <w:spacing w:after="60" w:before="60"/>
      </w:pPr>
      <w:r>
        <w:rPr>
          <w:rFonts w:ascii="Calibri" w:cs="Calibri" w:eastAsia="Calibri" w:hAnsi="Calibri"/>
          <w:b w:val="false"/>
          <w:bCs w:val="false"/>
          <w:color w:val="374151"/>
          <w:sz w:val="22"/>
          <w:szCs w:val="22"/>
        </w:rPr>
        <w:t xml:space="preserve">Email / notification integration — the system currently requires faculty to log in and check the dashboard; automated email alerts for newly flagged high-risk students would improve response time.</w:t>
      </w:r>
    </w:p>
    <w:p>
      <w:pPr>
        <w:spacing w:after="60" w:before="0"/>
      </w:pPr>
      <w:r>
        <w:t xml:space="preserve"/>
      </w:r>
    </w:p>
    <w:p>
      <w:pPr>
        <w:spacing w:after="60" w:before="0"/>
      </w:pPr>
      <w:r>
        <w:t xml:space="preserve"/>
      </w:r>
    </w:p>
    <w:p>
      <w:pPr>
        <w:pStyle w:val="Heading1"/>
        <w:pBdr>
          <w:bottom w:val="single" w:color="1D6FA4" w:sz="8" w:space="4"/>
        </w:pBdr>
        <w:spacing w:after="160" w:before="400"/>
      </w:pPr>
      <w:r>
        <w:rPr>
          <w:rFonts w:ascii="Calibri" w:cs="Calibri" w:eastAsia="Calibri" w:hAnsi="Calibri"/>
          <w:b/>
          <w:bCs/>
          <w:color w:val="0F2D4A"/>
          <w:sz w:val="30"/>
          <w:szCs w:val="30"/>
        </w:rPr>
        <w:t xml:space="preserve">14. Conclusion</w:t>
      </w:r>
    </w:p>
    <w:p>
      <w:pPr>
        <w:spacing w:after="100" w:before="80"/>
      </w:pPr>
      <w:r>
        <w:rPr>
          <w:rFonts w:ascii="Calibri" w:cs="Calibri" w:eastAsia="Calibri" w:hAnsi="Calibri"/>
          <w:color w:val="374151"/>
          <w:sz w:val="22"/>
          <w:szCs w:val="22"/>
        </w:rPr>
        <w:t xml:space="preserve">FailSafe is a well-architected, end-to-end educational AI system that directly addresses each goal of the project brief. By combining XGBoost-based risk prediction, SHAP explainability, a rule-based personalised intervention engine, and a role-aware faculty dashboard, FailSafe provides everything an institution needs to move from reactive to proactive student support.</w:t>
      </w:r>
    </w:p>
    <w:p>
      <w:pPr>
        <w:spacing w:after="60" w:before="0"/>
      </w:pPr>
      <w:r>
        <w:t xml:space="preserve"/>
      </w:r>
    </w:p>
    <w:p>
      <w:pPr>
        <w:spacing w:after="100" w:before="80"/>
      </w:pPr>
      <w:r>
        <w:rPr>
          <w:rFonts w:ascii="Calibri" w:cs="Calibri" w:eastAsia="Calibri" w:hAnsi="Calibri"/>
          <w:color w:val="374151"/>
          <w:sz w:val="22"/>
          <w:szCs w:val="22"/>
        </w:rPr>
        <w:t xml:space="preserve">The system's emphasis on making AI decisions interpretable for non-technical faculty — through plain-English SHAP summaries, colour-coded waterfall charts, and structured intervention plans — is its most important design principle. Predictions without explanations do not build faculty trust; FailSafe is built around that insight.</w:t>
      </w:r>
    </w:p>
    <w:p>
      <w:pPr>
        <w:spacing w:after="60" w:before="0"/>
      </w:pPr>
      <w:r>
        <w:t xml:space="preserve"/>
      </w:r>
    </w:p>
    <w:p>
      <w:pPr>
        <w:spacing w:after="100" w:before="80"/>
      </w:pPr>
      <w:r>
        <w:rPr>
          <w:rFonts w:ascii="Calibri" w:cs="Calibri" w:eastAsia="Calibri" w:hAnsi="Calibri"/>
          <w:color w:val="374151"/>
          <w:sz w:val="22"/>
          <w:szCs w:val="22"/>
        </w:rPr>
        <w:t xml:space="preserve">With the recommended improvements — broader dataset validation, secret management hardening, expanded test coverage, and notification integration — FailSafe would be ready for pilot deployment in a real academic institution. The modular codebase makes it straightforward to extend with new features such as semester-on-semester trend tracking, integration with a Student Information System (SIS), or a mobile companion app for faculty on the go.</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9E6" w:sz="4" w:space="4"/>
      </w:pBdr>
      <w:spacing w:after="0" w:before="60"/>
      <w:jc w:val="center"/>
    </w:pPr>
    <w:r>
      <w:rPr>
        <w:rFonts w:ascii="Calibri" w:cs="Calibri" w:eastAsia="Calibri" w:hAnsi="Calibri"/>
        <w:color w:val="6B7280"/>
        <w:sz w:val="18"/>
        <w:szCs w:val="18"/>
      </w:rPr>
      <w:t xml:space="preserve">FailSafe  —  Early Student Failure Detection  |  Confidential  |  Page </w:t>
    </w:r>
    <w:fldSimple w:instr="PAGE">
      <w:r>
        <w:rPr>
          <w:rFonts w:ascii="Calibri" w:cs="Calibri" w:eastAsia="Calibri" w:hAnsi="Calibri"/>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F2D4A"/>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D6FA4"/>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0F2D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2026-05-17T17:40:35.675Z</dcterms:created>
  <dcterms:modified xsi:type="dcterms:W3CDTF">2026-05-17T17:40:35.676Z</dcterms:modified>
</cp:coreProperties>
</file>

<file path=docProps/custom.xml><?xml version="1.0" encoding="utf-8"?>
<Properties xmlns="http://schemas.openxmlformats.org/officeDocument/2006/custom-properties" xmlns:vt="http://schemas.openxmlformats.org/officeDocument/2006/docPropsVTypes"/>
</file>