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right"/>
      </w:pPr>
      <w:r>
        <w:drawing>
          <wp:inline xmlns:a="http://schemas.openxmlformats.org/drawingml/2006/main" xmlns:pic="http://schemas.openxmlformats.org/drawingml/2006/picture">
            <wp:extent cx="2971800" cy="1981200"/>
            <wp:docPr id="1" name="Picture 1"/>
            <wp:cNvGraphicFramePr>
              <a:graphicFrameLocks noChangeAspect="1"/>
            </wp:cNvGraphicFramePr>
            <a:graphic>
              <a:graphicData uri="http://schemas.openxmlformats.org/drawingml/2006/picture">
                <pic:pic>
                  <pic:nvPicPr>
                    <pic:cNvPr id="0" name="hei-logo.png"/>
                    <pic:cNvPicPr/>
                  </pic:nvPicPr>
                  <pic:blipFill>
                    <a:blip r:embed="rId11"/>
                    <a:stretch>
                      <a:fillRect/>
                    </a:stretch>
                  </pic:blipFill>
                  <pic:spPr>
                    <a:xfrm>
                      <a:off x="0" y="0"/>
                      <a:ext cx="2971800" cy="1981200"/>
                    </a:xfrm>
                    <a:prstGeom prst="rect"/>
                  </pic:spPr>
                </pic:pic>
              </a:graphicData>
            </a:graphic>
          </wp:inline>
        </w:drawing>
      </w:r>
    </w:p>
    <w:p>
      <w:pPr>
        <w:spacing w:after="440"/>
      </w:pPr>
    </w:p>
    <w:p>
      <w:pPr>
        <w:spacing w:after="80"/>
      </w:pPr>
      <w:r>
        <w:rPr>
          <w:rFonts w:ascii="Calibri" w:hAnsi="Calibri"/>
          <w:b/>
          <w:color w:val="FFD400"/>
          <w:sz w:val="28"/>
        </w:rPr>
        <w:t>HEI</w:t>
      </w:r>
    </w:p>
    <w:p>
      <w:pPr>
        <w:spacing w:after="120"/>
      </w:pPr>
      <w:r>
        <w:rPr>
          <w:rFonts w:ascii="Calibri" w:hAnsi="Calibri"/>
          <w:b/>
          <w:color w:val="16181D"/>
          <w:sz w:val="60"/>
        </w:rPr>
        <w:t>Engineering Intelligence Platform</w:t>
      </w:r>
    </w:p>
    <w:p>
      <w:pPr>
        <w:spacing w:after="320"/>
      </w:pPr>
      <w:r>
        <w:rPr>
          <w:rFonts w:ascii="Calibri" w:hAnsi="Calibri"/>
          <w:b w:val="0"/>
          <w:color w:val="667085"/>
          <w:sz w:val="34"/>
        </w:rPr>
        <w:t>Application Implementation, Scope, Architecture, and Roadmap</w:t>
      </w:r>
    </w:p>
    <w:p>
      <w:pPr>
        <w:spacing w:before="0" w:after="200"/>
        <w:pBdr>
          <w:bottom w:val="single" w:sz="28" w:space="1" w:color="FFD400"/>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DC"/>
          </w:tcPr>
          <w:p>
            <w:pPr>
              <w:spacing w:after="40"/>
            </w:pPr>
            <w:r>
              <w:rPr>
                <w:rFonts w:ascii="Calibri" w:hAnsi="Calibri"/>
                <w:b/>
                <w:color w:val="FFD400"/>
                <w:sz w:val="18"/>
              </w:rPr>
              <w:t>ARCHITECTURE PRINCIPLE</w:t>
            </w:r>
          </w:p>
          <w:p>
            <w:pPr>
              <w:spacing w:after="0"/>
            </w:pPr>
            <w:r>
              <w:rPr>
                <w:rFonts w:ascii="Calibri" w:hAnsi="Calibri"/>
                <w:b/>
                <w:color w:val="16181D"/>
                <w:sz w:val="22"/>
              </w:rPr>
              <w:t>Engineering facts first. Context before execution. Approval before consequence.</w:t>
            </w:r>
          </w:p>
        </w:tc>
      </w:tr>
    </w:tbl>
    <w:p>
      <w:pPr>
        <w:spacing w:after="40"/>
      </w:pPr>
    </w:p>
    <w:p>
      <w:pPr>
        <w:spacing w:before="600" w:after="80"/>
      </w:pPr>
      <w:r>
        <w:rPr>
          <w:rFonts w:ascii="Calibri" w:hAnsi="Calibri"/>
          <w:b/>
          <w:color w:val="667085"/>
          <w:sz w:val="18"/>
        </w:rPr>
        <w:t>DOCUMENT CLASSIFICATION</w:t>
      </w:r>
    </w:p>
    <w:p>
      <w:r>
        <w:rPr>
          <w:rFonts w:ascii="Calibri" w:hAnsi="Calibri"/>
          <w:b/>
          <w:color w:val="16181D"/>
          <w:sz w:val="22"/>
        </w:rPr>
        <w:t>Architecture and product reference</w:t>
      </w:r>
    </w:p>
    <w:p>
      <w:r>
        <w:rPr>
          <w:rFonts w:ascii="Calibri" w:hAnsi="Calibri"/>
          <w:color w:val="667085"/>
          <w:sz w:val="20"/>
        </w:rPr>
        <w:t>Version 1.0  |  August 2026  |  HEI Engineering Platform</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5F7FA"/>
          </w:tcPr>
          <w:p>
            <w:r>
              <w:rPr>
                <w:rFonts w:ascii="Calibri" w:hAnsi="Calibri"/>
                <w:b/>
                <w:color w:val="16181D"/>
                <w:sz w:val="20"/>
              </w:rPr>
              <w:t>Document</w:t>
            </w:r>
          </w:p>
        </w:tc>
        <w:tc>
          <w:tcPr>
            <w:tcW w:type="dxa" w:w="6760"/>
            <w:tcMar>
              <w:top w:w="80" w:type="dxa"/>
              <w:start w:w="120" w:type="dxa"/>
              <w:bottom w:w="80" w:type="dxa"/>
              <w:end w:w="120" w:type="dxa"/>
            </w:tcMar>
            <w:vAlign w:val="center"/>
          </w:tcPr>
          <w:p>
            <w:r>
              <w:rPr>
                <w:rFonts w:ascii="Calibri" w:hAnsi="Calibri"/>
                <w:color w:val="16181D"/>
                <w:sz w:val="20"/>
              </w:rPr>
              <w:t>HEI Application Implementation, Scope, Architecture, and Roadmap</w:t>
            </w:r>
          </w:p>
        </w:tc>
      </w:tr>
      <w:tr>
        <w:tc>
          <w:tcPr>
            <w:tcW w:type="dxa" w:w="2600"/>
            <w:tcMar>
              <w:top w:w="80" w:type="dxa"/>
              <w:start w:w="120" w:type="dxa"/>
              <w:bottom w:w="80" w:type="dxa"/>
              <w:end w:w="120" w:type="dxa"/>
            </w:tcMar>
            <w:vAlign w:val="center"/>
            <w:shd w:fill="F5F7FA"/>
          </w:tcPr>
          <w:p>
            <w:r>
              <w:rPr>
                <w:rFonts w:ascii="Calibri" w:hAnsi="Calibri"/>
                <w:b/>
                <w:color w:val="16181D"/>
                <w:sz w:val="20"/>
              </w:rPr>
              <w:t>Version</w:t>
            </w:r>
          </w:p>
        </w:tc>
        <w:tc>
          <w:tcPr>
            <w:tcW w:type="dxa" w:w="6760"/>
            <w:tcMar>
              <w:top w:w="80" w:type="dxa"/>
              <w:start w:w="120" w:type="dxa"/>
              <w:bottom w:w="80" w:type="dxa"/>
              <w:end w:w="120" w:type="dxa"/>
            </w:tcMar>
            <w:vAlign w:val="center"/>
          </w:tcPr>
          <w:p>
            <w:r>
              <w:rPr>
                <w:rFonts w:ascii="Calibri" w:hAnsi="Calibri"/>
                <w:color w:val="16181D"/>
                <w:sz w:val="20"/>
              </w:rPr>
              <w:t>1.0</w:t>
            </w:r>
          </w:p>
        </w:tc>
      </w:tr>
      <w:tr>
        <w:tc>
          <w:tcPr>
            <w:tcW w:type="dxa" w:w="2600"/>
            <w:tcMar>
              <w:top w:w="80" w:type="dxa"/>
              <w:start w:w="120" w:type="dxa"/>
              <w:bottom w:w="80" w:type="dxa"/>
              <w:end w:w="120" w:type="dxa"/>
            </w:tcMar>
            <w:vAlign w:val="center"/>
            <w:shd w:fill="F5F7FA"/>
          </w:tcPr>
          <w:p>
            <w:r>
              <w:rPr>
                <w:rFonts w:ascii="Calibri" w:hAnsi="Calibri"/>
                <w:b/>
                <w:color w:val="16181D"/>
                <w:sz w:val="20"/>
              </w:rPr>
              <w:t>Status</w:t>
            </w:r>
          </w:p>
        </w:tc>
        <w:tc>
          <w:tcPr>
            <w:tcW w:type="dxa" w:w="6760"/>
            <w:tcMar>
              <w:top w:w="80" w:type="dxa"/>
              <w:start w:w="120" w:type="dxa"/>
              <w:bottom w:w="80" w:type="dxa"/>
              <w:end w:w="120" w:type="dxa"/>
            </w:tcMar>
            <w:vAlign w:val="center"/>
          </w:tcPr>
          <w:p>
            <w:r>
              <w:rPr>
                <w:rFonts w:ascii="Calibri" w:hAnsi="Calibri"/>
                <w:color w:val="16181D"/>
                <w:sz w:val="20"/>
              </w:rPr>
              <w:t>Architecture reference</w:t>
            </w:r>
          </w:p>
        </w:tc>
      </w:tr>
      <w:tr>
        <w:tc>
          <w:tcPr>
            <w:tcW w:type="dxa" w:w="2600"/>
            <w:tcMar>
              <w:top w:w="80" w:type="dxa"/>
              <w:start w:w="120" w:type="dxa"/>
              <w:bottom w:w="80" w:type="dxa"/>
              <w:end w:w="120" w:type="dxa"/>
            </w:tcMar>
            <w:vAlign w:val="center"/>
            <w:shd w:fill="F5F7FA"/>
          </w:tcPr>
          <w:p>
            <w:r>
              <w:rPr>
                <w:rFonts w:ascii="Calibri" w:hAnsi="Calibri"/>
                <w:b/>
                <w:color w:val="16181D"/>
                <w:sz w:val="20"/>
              </w:rPr>
              <w:t>Audience</w:t>
            </w:r>
          </w:p>
        </w:tc>
        <w:tc>
          <w:tcPr>
            <w:tcW w:type="dxa" w:w="6760"/>
            <w:tcMar>
              <w:top w:w="80" w:type="dxa"/>
              <w:start w:w="120" w:type="dxa"/>
              <w:bottom w:w="80" w:type="dxa"/>
              <w:end w:w="120" w:type="dxa"/>
            </w:tcMar>
            <w:vAlign w:val="center"/>
          </w:tcPr>
          <w:p>
            <w:r>
              <w:rPr>
                <w:rFonts w:ascii="Calibri" w:hAnsi="Calibri"/>
                <w:color w:val="16181D"/>
                <w:sz w:val="20"/>
              </w:rPr>
              <w:t>Engineering leaders, architects, product owners, developers, QA, delivery, and platform administrators</w:t>
            </w:r>
          </w:p>
        </w:tc>
      </w:tr>
      <w:tr>
        <w:tc>
          <w:tcPr>
            <w:tcW w:type="dxa" w:w="2600"/>
            <w:tcMar>
              <w:top w:w="80" w:type="dxa"/>
              <w:start w:w="120" w:type="dxa"/>
              <w:bottom w:w="80" w:type="dxa"/>
              <w:end w:w="120" w:type="dxa"/>
            </w:tcMar>
            <w:vAlign w:val="center"/>
            <w:shd w:fill="F5F7FA"/>
          </w:tcPr>
          <w:p>
            <w:r>
              <w:rPr>
                <w:rFonts w:ascii="Calibri" w:hAnsi="Calibri"/>
                <w:b/>
                <w:color w:val="16181D"/>
                <w:sz w:val="20"/>
              </w:rPr>
              <w:t>Source of truth</w:t>
            </w:r>
          </w:p>
        </w:tc>
        <w:tc>
          <w:tcPr>
            <w:tcW w:type="dxa" w:w="6760"/>
            <w:tcMar>
              <w:top w:w="80" w:type="dxa"/>
              <w:start w:w="120" w:type="dxa"/>
              <w:bottom w:w="80" w:type="dxa"/>
              <w:end w:w="120" w:type="dxa"/>
            </w:tcMar>
            <w:vAlign w:val="center"/>
          </w:tcPr>
          <w:p>
            <w:r>
              <w:rPr>
                <w:rFonts w:ascii="Calibri" w:hAnsi="Calibri"/>
                <w:color w:val="16181D"/>
                <w:sz w:val="20"/>
              </w:rPr>
              <w:t>Current HEI repository implementation and linked architecture documentation</w:t>
            </w:r>
          </w:p>
        </w:tc>
      </w:tr>
    </w:tbl>
    <w:p>
      <w:pPr>
        <w:pStyle w:val="Heading1"/>
      </w:pPr>
      <w:r>
        <w:t>Contents</w:t>
      </w:r>
    </w:p>
    <w:p>
      <w:pPr>
        <w:pStyle w:val="ListBullet"/>
        <w:spacing w:after="60"/>
      </w:pPr>
      <w:r>
        <w:t>Executive Summary</w:t>
      </w:r>
    </w:p>
    <w:p>
      <w:pPr>
        <w:pStyle w:val="ListBullet"/>
        <w:spacing w:after="60"/>
      </w:pPr>
      <w:r>
        <w:t>Product Scope and Users</w:t>
      </w:r>
    </w:p>
    <w:p>
      <w:pPr>
        <w:pStyle w:val="ListBullet"/>
        <w:spacing w:after="60"/>
      </w:pPr>
      <w:r>
        <w:t>Platform Architecture</w:t>
      </w:r>
    </w:p>
    <w:p>
      <w:pPr>
        <w:pStyle w:val="ListBullet"/>
        <w:spacing w:after="60"/>
      </w:pPr>
      <w:r>
        <w:t>Engineering Lifecycle and Artifact Lineage</w:t>
      </w:r>
    </w:p>
    <w:p>
      <w:pPr>
        <w:pStyle w:val="ListBullet"/>
        <w:spacing w:after="60"/>
      </w:pPr>
      <w:r>
        <w:t>Context and Evidence Architecture</w:t>
      </w:r>
    </w:p>
    <w:p>
      <w:pPr>
        <w:pStyle w:val="ListBullet"/>
        <w:spacing w:after="60"/>
      </w:pPr>
      <w:r>
        <w:t>Requirement and Planning Intelligence</w:t>
      </w:r>
    </w:p>
    <w:p>
      <w:pPr>
        <w:pStyle w:val="ListBullet"/>
        <w:spacing w:after="60"/>
      </w:pPr>
      <w:r>
        <w:t>Repository Intelligence</w:t>
      </w:r>
    </w:p>
    <w:p>
      <w:pPr>
        <w:pStyle w:val="ListBullet"/>
        <w:spacing w:after="60"/>
      </w:pPr>
      <w:r>
        <w:t>Execution, Prompt, Runtime, Validation, and QA</w:t>
      </w:r>
    </w:p>
    <w:p>
      <w:pPr>
        <w:pStyle w:val="ListBullet"/>
        <w:spacing w:after="60"/>
      </w:pPr>
      <w:r>
        <w:t>Azure DevOps Integration</w:t>
      </w:r>
    </w:p>
    <w:p>
      <w:pPr>
        <w:pStyle w:val="ListBullet"/>
        <w:spacing w:after="60"/>
      </w:pPr>
      <w:r>
        <w:t>Deployment and Implementation Status</w:t>
      </w:r>
    </w:p>
    <w:p>
      <w:pPr>
        <w:pStyle w:val="ListBullet"/>
        <w:spacing w:after="60"/>
      </w:pPr>
      <w:r>
        <w:t>Security, Governance, and Operations</w:t>
      </w:r>
    </w:p>
    <w:p>
      <w:pPr>
        <w:pStyle w:val="ListBullet"/>
        <w:spacing w:after="60"/>
      </w:pPr>
      <w:r>
        <w:t>Testing, Constraints, and Known Limitations</w:t>
      </w:r>
    </w:p>
    <w:p>
      <w:pPr>
        <w:pStyle w:val="ListBullet"/>
        <w:spacing w:after="60"/>
      </w:pPr>
      <w:r>
        <w:t>Future Plans and Target Architecture</w:t>
      </w:r>
    </w:p>
    <w:p>
      <w:pPr>
        <w:pStyle w:val="ListBullet"/>
        <w:spacing w:after="60"/>
      </w:pPr>
      <w:r>
        <w:t>Architectural Guardrails</w:t>
      </w:r>
    </w:p>
    <w:p>
      <w:r>
        <w:br w:type="page"/>
      </w:r>
    </w:p>
    <w:p>
      <w:pPr>
        <w:pStyle w:val="Heading1"/>
      </w:pPr>
      <w:r>
        <w:t>Document Purpose</w:t>
      </w:r>
    </w:p>
    <w:p>
      <w:pPr>
        <w:widowControl/>
      </w:pPr>
      <w:r>
        <w:rPr>
          <w:rFonts w:ascii="Calibri" w:hAnsi="Calibri"/>
          <w:color w:val="16181D"/>
          <w:sz w:val="22"/>
        </w:rPr>
        <w:t>This document provides a complete application-level view of the HEI Engineering Platform. It explains:</w:t>
      </w:r>
    </w:p>
    <w:p>
      <w:pPr>
        <w:pStyle w:val="ListBullet"/>
        <w:spacing w:after="80"/>
      </w:pPr>
      <w:r>
        <w:rPr>
          <w:rFonts w:ascii="Calibri" w:hAnsi="Calibri"/>
          <w:color w:val="16181D"/>
          <w:sz w:val="21"/>
        </w:rPr>
        <w:t>the product purpose and scope;</w:t>
      </w:r>
    </w:p>
    <w:p>
      <w:pPr>
        <w:pStyle w:val="ListBullet"/>
        <w:spacing w:after="80"/>
      </w:pPr>
      <w:r>
        <w:rPr>
          <w:rFonts w:ascii="Calibri" w:hAnsi="Calibri"/>
          <w:color w:val="16181D"/>
          <w:sz w:val="21"/>
        </w:rPr>
        <w:t>the implemented application capabilities;</w:t>
      </w:r>
    </w:p>
    <w:p>
      <w:pPr>
        <w:pStyle w:val="ListBullet"/>
        <w:spacing w:after="80"/>
      </w:pPr>
      <w:r>
        <w:rPr>
          <w:rFonts w:ascii="Calibri" w:hAnsi="Calibri"/>
          <w:color w:val="16181D"/>
          <w:sz w:val="21"/>
        </w:rPr>
        <w:t>the architecture and module boundaries;</w:t>
      </w:r>
    </w:p>
    <w:p>
      <w:pPr>
        <w:pStyle w:val="ListBullet"/>
        <w:spacing w:after="80"/>
      </w:pPr>
      <w:r>
        <w:rPr>
          <w:rFonts w:ascii="Calibri" w:hAnsi="Calibri"/>
          <w:color w:val="16181D"/>
          <w:sz w:val="21"/>
        </w:rPr>
        <w:t>the engineering lifecycle and artifact lineage;</w:t>
      </w:r>
    </w:p>
    <w:p>
      <w:pPr>
        <w:pStyle w:val="ListBullet"/>
        <w:spacing w:after="80"/>
      </w:pPr>
      <w:r>
        <w:rPr>
          <w:rFonts w:ascii="Calibri" w:hAnsi="Calibri"/>
          <w:color w:val="16181D"/>
          <w:sz w:val="21"/>
        </w:rPr>
        <w:t>the user experiences and external integrations;</w:t>
      </w:r>
    </w:p>
    <w:p>
      <w:pPr>
        <w:pStyle w:val="ListBullet"/>
        <w:spacing w:after="80"/>
      </w:pPr>
      <w:r>
        <w:rPr>
          <w:rFonts w:ascii="Calibri" w:hAnsi="Calibri"/>
          <w:color w:val="16181D"/>
          <w:sz w:val="21"/>
        </w:rPr>
        <w:t>current implementation constraints; and</w:t>
      </w:r>
    </w:p>
    <w:p>
      <w:pPr>
        <w:pStyle w:val="ListBullet"/>
        <w:spacing w:after="80"/>
      </w:pPr>
      <w:r>
        <w:rPr>
          <w:rFonts w:ascii="Calibri" w:hAnsi="Calibri"/>
          <w:color w:val="16181D"/>
          <w:sz w:val="21"/>
        </w:rPr>
        <w:t>the planned path from the current platform to an enterprise Engineering</w:t>
      </w:r>
    </w:p>
    <w:p>
      <w:pPr>
        <w:widowControl/>
      </w:pPr>
      <w:r>
        <w:rPr>
          <w:rFonts w:ascii="Calibri" w:hAnsi="Calibri"/>
          <w:color w:val="16181D"/>
          <w:sz w:val="22"/>
        </w:rPr>
        <w:t>Operating System.</w:t>
      </w:r>
    </w:p>
    <w:p>
      <w:pPr>
        <w:widowControl/>
      </w:pPr>
      <w:r>
        <w:rPr>
          <w:rFonts w:ascii="Calibri" w:hAnsi="Calibri"/>
          <w:color w:val="16181D"/>
          <w:sz w:val="22"/>
        </w:rPr>
        <w:t>Detailed subsystem specifications remain in the linked architecture, integration, platform, testing, and operations documents. This document is the recommended starting point for engineering leaders, architects, developers, product owners, and delivery teams.</w:t>
      </w:r>
    </w:p>
    <w:p>
      <w:pPr>
        <w:pStyle w:val="Heading1"/>
      </w:pPr>
      <w:r>
        <w:t>Executive Summary</w:t>
      </w:r>
    </w:p>
    <w:p>
      <w:pPr>
        <w:widowControl/>
      </w:pPr>
      <w:r>
        <w:rPr>
          <w:rFonts w:ascii="Calibri" w:hAnsi="Calibri"/>
          <w:color w:val="16181D"/>
          <w:sz w:val="22"/>
        </w:rPr>
        <w:t>HEI is a repository-aware Engineering Intelligence Platform. It transforms approved business intent and verified engineering evidence into traceable planning, implementation, validation, QA, and release artifacts.</w:t>
      </w:r>
    </w:p>
    <w:p>
      <w:pPr>
        <w:widowControl/>
      </w:pPr>
      <w:r>
        <w:rPr>
          <w:rFonts w:ascii="Calibri" w:hAnsi="Calibri"/>
          <w:color w:val="16181D"/>
          <w:sz w:val="22"/>
        </w:rPr>
        <w:t>HEI does not replace Azure DevOps, Git, repositories, CI/CD systems, or coding assistants. It connects them through governed, versioned engineering context.</w:t>
      </w:r>
    </w:p>
    <w:p>
      <w:pPr>
        <w:widowControl/>
      </w:pPr>
      <w:r>
        <w:rPr>
          <w:rFonts w:ascii="Calibri" w:hAnsi="Calibri"/>
          <w:color w:val="16181D"/>
          <w:sz w:val="22"/>
        </w:rPr>
        <w:t>The product promise 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DC"/>
          </w:tcPr>
          <w:p>
            <w:pPr>
              <w:spacing w:after="40"/>
            </w:pPr>
            <w:r>
              <w:rPr>
                <w:rFonts w:ascii="Calibri" w:hAnsi="Calibri"/>
                <w:b/>
                <w:color w:val="FFD400"/>
                <w:sz w:val="18"/>
              </w:rPr>
              <w:t>KEY STATEMENT</w:t>
            </w:r>
          </w:p>
          <w:p>
            <w:pPr>
              <w:spacing w:after="0"/>
            </w:pPr>
            <w:r>
              <w:rPr>
                <w:rFonts w:ascii="Calibri" w:hAnsi="Calibri"/>
                <w:b/>
                <w:color w:val="16181D"/>
                <w:sz w:val="22"/>
              </w:rPr>
              <w:t>Move from a requirement to implementation-ready engineering work without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DC"/>
          </w:tcPr>
          <w:p>
            <w:pPr>
              <w:spacing w:after="40"/>
            </w:pPr>
            <w:r>
              <w:rPr>
                <w:rFonts w:ascii="Calibri" w:hAnsi="Calibri"/>
                <w:b/>
                <w:color w:val="FFD400"/>
                <w:sz w:val="18"/>
              </w:rPr>
              <w:t>KEY STATEMENT</w:t>
            </w:r>
          </w:p>
          <w:p>
            <w:pPr>
              <w:spacing w:after="0"/>
            </w:pPr>
            <w:r>
              <w:rPr>
                <w:rFonts w:ascii="Calibri" w:hAnsi="Calibri"/>
                <w:b/>
                <w:color w:val="16181D"/>
                <w:sz w:val="22"/>
              </w:rPr>
              <w:t>repeatedly reconstructing intent, repository context, standards, risks, and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DC"/>
          </w:tcPr>
          <w:p>
            <w:pPr>
              <w:spacing w:after="40"/>
            </w:pPr>
            <w:r>
              <w:rPr>
                <w:rFonts w:ascii="Calibri" w:hAnsi="Calibri"/>
                <w:b/>
                <w:color w:val="FFD400"/>
                <w:sz w:val="18"/>
              </w:rPr>
              <w:t>KEY STATEMENT</w:t>
            </w:r>
          </w:p>
          <w:p>
            <w:pPr>
              <w:spacing w:after="0"/>
            </w:pPr>
            <w:r>
              <w:rPr>
                <w:rFonts w:ascii="Calibri" w:hAnsi="Calibri"/>
                <w:b/>
                <w:color w:val="16181D"/>
                <w:sz w:val="22"/>
              </w:rPr>
              <w:t>validation expectations.</w:t>
            </w:r>
          </w:p>
        </w:tc>
      </w:tr>
    </w:tbl>
    <w:p>
      <w:pPr>
        <w:spacing w:after="40"/>
      </w:pPr>
    </w:p>
    <w:p>
      <w:pPr>
        <w:widowControl/>
      </w:pPr>
      <w:r>
        <w:rPr>
          <w:rFonts w:ascii="Calibri" w:hAnsi="Calibri"/>
          <w:color w:val="16181D"/>
          <w:sz w:val="22"/>
        </w:rPr>
        <w:t>The platform is designed around five principles:</w:t>
      </w:r>
    </w:p>
    <w:p>
      <w:pPr>
        <w:spacing w:after="80"/>
        <w:numPr>
          <w:ilvl w:val="0"/>
          <w:numId w:val="10"/>
        </w:numPr>
      </w:pPr>
      <w:r>
        <w:rPr>
          <w:rFonts w:ascii="Calibri" w:hAnsi="Calibri"/>
          <w:color w:val="16181D"/>
          <w:sz w:val="21"/>
        </w:rPr>
        <w:t>Engineering facts precede AI reasoning.</w:t>
      </w:r>
    </w:p>
    <w:p>
      <w:pPr>
        <w:spacing w:after="80"/>
        <w:numPr>
          <w:ilvl w:val="0"/>
          <w:numId w:val="11"/>
        </w:numPr>
      </w:pPr>
      <w:r>
        <w:rPr>
          <w:rFonts w:ascii="Calibri" w:hAnsi="Calibri"/>
          <w:color w:val="16181D"/>
          <w:sz w:val="21"/>
        </w:rPr>
        <w:t>Context is selected once and consumed through versioned artifacts.</w:t>
      </w:r>
    </w:p>
    <w:p>
      <w:pPr>
        <w:spacing w:after="80"/>
        <w:numPr>
          <w:ilvl w:val="0"/>
          <w:numId w:val="12"/>
        </w:numPr>
      </w:pPr>
      <w:r>
        <w:rPr>
          <w:rFonts w:ascii="Calibri" w:hAnsi="Calibri"/>
          <w:color w:val="16181D"/>
          <w:sz w:val="21"/>
        </w:rPr>
        <w:t>Deterministic outputs remain usable when an AI provider is unavailable.</w:t>
      </w:r>
    </w:p>
    <w:p>
      <w:pPr>
        <w:spacing w:after="80"/>
        <w:numPr>
          <w:ilvl w:val="0"/>
          <w:numId w:val="13"/>
        </w:numPr>
      </w:pPr>
      <w:r>
        <w:rPr>
          <w:rFonts w:ascii="Calibri" w:hAnsi="Calibri"/>
          <w:color w:val="16181D"/>
          <w:sz w:val="21"/>
        </w:rPr>
        <w:t>Humans approve consequential planning and automation actions.</w:t>
      </w:r>
    </w:p>
    <w:p>
      <w:pPr>
        <w:spacing w:after="80"/>
        <w:numPr>
          <w:ilvl w:val="0"/>
          <w:numId w:val="14"/>
        </w:numPr>
      </w:pPr>
      <w:r>
        <w:rPr>
          <w:rFonts w:ascii="Calibri" w:hAnsi="Calibri"/>
          <w:color w:val="16181D"/>
          <w:sz w:val="21"/>
        </w:rPr>
        <w:t>Every decision retains evidence, lineage, confidence, and audit history.</w:t>
      </w:r>
    </w:p>
    <w:p>
      <w:pPr>
        <w:pStyle w:val="Heading1"/>
      </w:pPr>
      <w:r>
        <w:t>Product Scope</w:t>
      </w:r>
    </w:p>
    <w:p>
      <w:pPr>
        <w:pStyle w:val="Heading2"/>
      </w:pPr>
      <w:r>
        <w:t>In Scope</w:t>
      </w:r>
    </w:p>
    <w:p>
      <w:pPr>
        <w:widowControl/>
      </w:pPr>
      <w:r>
        <w:rPr>
          <w:rFonts w:ascii="Calibri" w:hAnsi="Calibri"/>
          <w:color w:val="16181D"/>
          <w:sz w:val="22"/>
        </w:rPr>
        <w:t>HEI currently addresses the following engineering lifecycle areas:</w:t>
      </w:r>
    </w:p>
    <w:p>
      <w:pPr>
        <w:pStyle w:val="ListBullet"/>
        <w:spacing w:after="80"/>
      </w:pPr>
      <w:r>
        <w:rPr>
          <w:rFonts w:ascii="Calibri" w:hAnsi="Calibri"/>
          <w:color w:val="16181D"/>
          <w:sz w:val="21"/>
        </w:rPr>
        <w:t>requirement ingestion from text, documents, transcripts, and Azure DevOps;</w:t>
      </w:r>
    </w:p>
    <w:p>
      <w:pPr>
        <w:pStyle w:val="ListBullet"/>
        <w:spacing w:after="80"/>
      </w:pPr>
      <w:r>
        <w:rPr>
          <w:rFonts w:ascii="Calibri" w:hAnsi="Calibri"/>
          <w:color w:val="16181D"/>
          <w:sz w:val="21"/>
        </w:rPr>
        <w:t>AI-assisted requirement refinement with deterministic fallback;</w:t>
      </w:r>
    </w:p>
    <w:p>
      <w:pPr>
        <w:pStyle w:val="ListBullet"/>
        <w:spacing w:after="80"/>
      </w:pPr>
      <w:r>
        <w:rPr>
          <w:rFonts w:ascii="Calibri" w:hAnsi="Calibri"/>
          <w:color w:val="16181D"/>
          <w:sz w:val="21"/>
        </w:rPr>
        <w:t>statement-level reasoning governance and evidence provenance;</w:t>
      </w:r>
    </w:p>
    <w:p>
      <w:pPr>
        <w:pStyle w:val="ListBullet"/>
        <w:spacing w:after="80"/>
      </w:pPr>
      <w:r>
        <w:rPr>
          <w:rFonts w:ascii="Calibri" w:hAnsi="Calibri"/>
          <w:color w:val="16181D"/>
          <w:sz w:val="21"/>
        </w:rPr>
        <w:t>repository registration, synchronization, snapshots, parsing, graph data,</w:t>
      </w:r>
    </w:p>
    <w:p>
      <w:pPr>
        <w:widowControl/>
      </w:pPr>
      <w:r>
        <w:rPr>
          <w:rFonts w:ascii="Calibri" w:hAnsi="Calibri"/>
          <w:color w:val="16181D"/>
          <w:sz w:val="22"/>
        </w:rPr>
        <w:t>file ranking, and monitoring;</w:t>
      </w:r>
    </w:p>
    <w:p>
      <w:pPr>
        <w:pStyle w:val="ListBullet"/>
        <w:spacing w:after="80"/>
      </w:pPr>
      <w:r>
        <w:rPr>
          <w:rFonts w:ascii="Calibri" w:hAnsi="Calibri"/>
          <w:color w:val="16181D"/>
          <w:sz w:val="21"/>
        </w:rPr>
        <w:t>Engineering Intelligence across repository, Markdown, Azure DevOps,</w:t>
      </w:r>
    </w:p>
    <w:p>
      <w:pPr>
        <w:widowControl/>
      </w:pPr>
      <w:r>
        <w:rPr>
          <w:rFonts w:ascii="Calibri" w:hAnsi="Calibri"/>
          <w:color w:val="16181D"/>
          <w:sz w:val="22"/>
        </w:rPr>
        <w:t>Knowledge Registry, and approved Engineering Memory;</w:t>
      </w:r>
    </w:p>
    <w:p>
      <w:pPr>
        <w:pStyle w:val="ListBullet"/>
        <w:spacing w:after="80"/>
      </w:pPr>
      <w:r>
        <w:rPr>
          <w:rFonts w:ascii="Calibri" w:hAnsi="Calibri"/>
          <w:color w:val="16181D"/>
          <w:sz w:val="21"/>
        </w:rPr>
        <w:t>planning context, recommendations, proposals, estimates, dependencies,</w:t>
      </w:r>
    </w:p>
    <w:p>
      <w:pPr>
        <w:widowControl/>
      </w:pPr>
      <w:r>
        <w:rPr>
          <w:rFonts w:ascii="Calibri" w:hAnsi="Calibri"/>
          <w:color w:val="16181D"/>
          <w:sz w:val="22"/>
        </w:rPr>
        <w:t>reviews, approvals, and Azure DevOps previews;</w:t>
      </w:r>
    </w:p>
    <w:p>
      <w:pPr>
        <w:pStyle w:val="ListBullet"/>
        <w:spacing w:after="80"/>
      </w:pPr>
      <w:r>
        <w:rPr>
          <w:rFonts w:ascii="Calibri" w:hAnsi="Calibri"/>
          <w:color w:val="16181D"/>
          <w:sz w:val="21"/>
        </w:rPr>
        <w:t>deterministic Context Capsules, Execution Packages, Implementation Plans,</w:t>
      </w:r>
    </w:p>
    <w:p>
      <w:pPr>
        <w:widowControl/>
      </w:pPr>
      <w:r>
        <w:rPr>
          <w:rFonts w:ascii="Calibri" w:hAnsi="Calibri"/>
          <w:color w:val="16181D"/>
          <w:sz w:val="22"/>
        </w:rPr>
        <w:t>and Execution Manifests;</w:t>
      </w:r>
    </w:p>
    <w:p>
      <w:pPr>
        <w:pStyle w:val="ListBullet"/>
        <w:spacing w:after="80"/>
      </w:pPr>
      <w:r>
        <w:rPr>
          <w:rFonts w:ascii="Calibri" w:hAnsi="Calibri"/>
          <w:color w:val="16181D"/>
          <w:sz w:val="21"/>
        </w:rPr>
        <w:t>model-aware prompt compilation, token budgeting, adaptation, routing,</w:t>
      </w:r>
    </w:p>
    <w:p>
      <w:pPr>
        <w:widowControl/>
      </w:pPr>
      <w:r>
        <w:rPr>
          <w:rFonts w:ascii="Calibri" w:hAnsi="Calibri"/>
          <w:color w:val="16181D"/>
          <w:sz w:val="22"/>
        </w:rPr>
        <w:t>caching, and diagnostics;</w:t>
      </w:r>
    </w:p>
    <w:p>
      <w:pPr>
        <w:pStyle w:val="ListBullet"/>
        <w:spacing w:after="80"/>
      </w:pPr>
      <w:r>
        <w:rPr>
          <w:rFonts w:ascii="Calibri" w:hAnsi="Calibri"/>
          <w:color w:val="16181D"/>
          <w:sz w:val="21"/>
        </w:rPr>
        <w:t>execution-session recording, response interpretation, semantic engineering</w:t>
      </w:r>
    </w:p>
    <w:p>
      <w:pPr>
        <w:widowControl/>
      </w:pPr>
      <w:r>
        <w:rPr>
          <w:rFonts w:ascii="Calibri" w:hAnsi="Calibri"/>
          <w:color w:val="16181D"/>
          <w:sz w:val="22"/>
        </w:rPr>
        <w:t>diff, validation and QA trigger decisions, memory candidates, and PR candidates;</w:t>
      </w:r>
    </w:p>
    <w:p>
      <w:pPr>
        <w:pStyle w:val="ListBullet"/>
        <w:spacing w:after="80"/>
      </w:pPr>
      <w:r>
        <w:rPr>
          <w:rFonts w:ascii="Calibri" w:hAnsi="Calibri"/>
          <w:color w:val="16181D"/>
          <w:sz w:val="21"/>
        </w:rPr>
        <w:t>implementation validation, PR intelligence, QA readiness, regression risk,</w:t>
      </w:r>
    </w:p>
    <w:p>
      <w:pPr>
        <w:widowControl/>
      </w:pPr>
      <w:r>
        <w:rPr>
          <w:rFonts w:ascii="Calibri" w:hAnsi="Calibri"/>
          <w:color w:val="16181D"/>
          <w:sz w:val="22"/>
        </w:rPr>
        <w:t>and release recommendations;</w:t>
      </w:r>
    </w:p>
    <w:p>
      <w:pPr>
        <w:pStyle w:val="ListBullet"/>
        <w:spacing w:after="80"/>
      </w:pPr>
      <w:r>
        <w:rPr>
          <w:rFonts w:ascii="Calibri" w:hAnsi="Calibri"/>
          <w:color w:val="16181D"/>
          <w:sz w:val="21"/>
        </w:rPr>
        <w:t>Engineering Memory candidate review, approval, versioning, and retrieval;</w:t>
      </w:r>
    </w:p>
    <w:p>
      <w:pPr>
        <w:pStyle w:val="ListBullet"/>
        <w:spacing w:after="80"/>
      </w:pPr>
      <w:r>
        <w:rPr>
          <w:rFonts w:ascii="Calibri" w:hAnsi="Calibri"/>
          <w:color w:val="16181D"/>
          <w:sz w:val="21"/>
        </w:rPr>
        <w:t>Azure DevOps synchronization, work-item intelligence, approved automation,</w:t>
      </w:r>
    </w:p>
    <w:p>
      <w:pPr>
        <w:widowControl/>
      </w:pPr>
      <w:r>
        <w:rPr>
          <w:rFonts w:ascii="Calibri" w:hAnsi="Calibri"/>
          <w:color w:val="16181D"/>
          <w:sz w:val="22"/>
        </w:rPr>
        <w:t>PR intelligence, estimation, sprint intelligence, and agent preparation;</w:t>
      </w:r>
    </w:p>
    <w:p>
      <w:pPr>
        <w:pStyle w:val="ListBullet"/>
        <w:spacing w:after="80"/>
      </w:pPr>
      <w:r>
        <w:rPr>
          <w:rFonts w:ascii="Calibri" w:hAnsi="Calibri"/>
          <w:color w:val="16181D"/>
          <w:sz w:val="21"/>
        </w:rPr>
        <w:t>platform jobs, events, audit, activity, notifications, health, policies,</w:t>
      </w:r>
    </w:p>
    <w:p>
      <w:pPr>
        <w:widowControl/>
      </w:pPr>
      <w:r>
        <w:rPr>
          <w:rFonts w:ascii="Calibri" w:hAnsi="Calibri"/>
          <w:color w:val="16181D"/>
          <w:sz w:val="22"/>
        </w:rPr>
        <w:t>observability, and approval checkpoints; and</w:t>
      </w:r>
    </w:p>
    <w:p>
      <w:pPr>
        <w:pStyle w:val="ListBullet"/>
        <w:spacing w:after="80"/>
      </w:pPr>
      <w:r>
        <w:rPr>
          <w:rFonts w:ascii="Calibri" w:hAnsi="Calibri"/>
          <w:color w:val="16181D"/>
          <w:sz w:val="21"/>
        </w:rPr>
        <w:t>Engineering Command Center, Azure DevOps hub, VS Code assistant, APIs, and</w:t>
      </w:r>
    </w:p>
    <w:p>
      <w:pPr>
        <w:widowControl/>
      </w:pPr>
      <w:r>
        <w:rPr>
          <w:rFonts w:ascii="Calibri" w:hAnsi="Calibri"/>
          <w:color w:val="16181D"/>
          <w:sz w:val="22"/>
        </w:rPr>
        <w:t>Platform SDK contracts.</w:t>
      </w:r>
    </w:p>
    <w:p>
      <w:pPr>
        <w:pStyle w:val="Heading2"/>
      </w:pPr>
      <w:r>
        <w:t>Explicitly Out of Scope</w:t>
      </w:r>
    </w:p>
    <w:p>
      <w:pPr>
        <w:widowControl/>
      </w:pPr>
      <w:r>
        <w:rPr>
          <w:rFonts w:ascii="Calibri" w:hAnsi="Calibri"/>
          <w:color w:val="16181D"/>
          <w:sz w:val="22"/>
        </w:rPr>
        <w:t>HEI does not currently:</w:t>
      </w:r>
    </w:p>
    <w:p>
      <w:pPr>
        <w:pStyle w:val="ListBullet"/>
        <w:spacing w:after="80"/>
      </w:pPr>
      <w:r>
        <w:rPr>
          <w:rFonts w:ascii="Calibri" w:hAnsi="Calibri"/>
          <w:color w:val="16181D"/>
          <w:sz w:val="21"/>
        </w:rPr>
        <w:t>autonomously merge pull requests;</w:t>
      </w:r>
    </w:p>
    <w:p>
      <w:pPr>
        <w:pStyle w:val="ListBullet"/>
        <w:spacing w:after="80"/>
      </w:pPr>
      <w:r>
        <w:rPr>
          <w:rFonts w:ascii="Calibri" w:hAnsi="Calibri"/>
          <w:color w:val="16181D"/>
          <w:sz w:val="21"/>
        </w:rPr>
        <w:t>deploy software;</w:t>
      </w:r>
    </w:p>
    <w:p>
      <w:pPr>
        <w:pStyle w:val="ListBullet"/>
        <w:spacing w:after="80"/>
      </w:pPr>
      <w:r>
        <w:rPr>
          <w:rFonts w:ascii="Calibri" w:hAnsi="Calibri"/>
          <w:color w:val="16181D"/>
          <w:sz w:val="21"/>
        </w:rPr>
        <w:t>approve its own planning, release, or Azure DevOps write actions;</w:t>
      </w:r>
    </w:p>
    <w:p>
      <w:pPr>
        <w:pStyle w:val="ListBullet"/>
        <w:spacing w:after="80"/>
      </w:pPr>
      <w:r>
        <w:rPr>
          <w:rFonts w:ascii="Calibri" w:hAnsi="Calibri"/>
          <w:color w:val="16181D"/>
          <w:sz w:val="21"/>
        </w:rPr>
        <w:t>modify a repository directly from the Execution Runtime;</w:t>
      </w:r>
    </w:p>
    <w:p>
      <w:pPr>
        <w:pStyle w:val="ListBullet"/>
        <w:spacing w:after="80"/>
      </w:pPr>
      <w:r>
        <w:rPr>
          <w:rFonts w:ascii="Calibri" w:hAnsi="Calibri"/>
          <w:color w:val="16181D"/>
          <w:sz w:val="21"/>
        </w:rPr>
        <w:t>invent repository files, APIs, services, or work items when evidence is</w:t>
      </w:r>
    </w:p>
    <w:p>
      <w:pPr>
        <w:widowControl/>
      </w:pPr>
      <w:r>
        <w:rPr>
          <w:rFonts w:ascii="Calibri" w:hAnsi="Calibri"/>
          <w:color w:val="16181D"/>
          <w:sz w:val="22"/>
        </w:rPr>
        <w:t>unavailable;</w:t>
      </w:r>
    </w:p>
    <w:p>
      <w:pPr>
        <w:pStyle w:val="ListBullet"/>
        <w:spacing w:after="80"/>
      </w:pPr>
      <w:r>
        <w:rPr>
          <w:rFonts w:ascii="Calibri" w:hAnsi="Calibri"/>
          <w:color w:val="16181D"/>
          <w:sz w:val="21"/>
        </w:rPr>
        <w:t>replace Azure DevOps as the system of record;</w:t>
      </w:r>
    </w:p>
    <w:p>
      <w:pPr>
        <w:pStyle w:val="ListBullet"/>
        <w:spacing w:after="80"/>
      </w:pPr>
      <w:r>
        <w:rPr>
          <w:rFonts w:ascii="Calibri" w:hAnsi="Calibri"/>
          <w:color w:val="16181D"/>
          <w:sz w:val="21"/>
        </w:rPr>
        <w:t>use developer-surveillance metrics such as lines of code or keyboard time;</w:t>
      </w:r>
    </w:p>
    <w:p>
      <w:pPr>
        <w:pStyle w:val="ListBullet"/>
        <w:spacing w:after="80"/>
      </w:pPr>
      <w:r>
        <w:rPr>
          <w:rFonts w:ascii="Calibri" w:hAnsi="Calibri"/>
          <w:color w:val="16181D"/>
          <w:sz w:val="21"/>
        </w:rPr>
        <w:t>require an external graph database for the current implementation; or</w:t>
      </w:r>
    </w:p>
    <w:p>
      <w:pPr>
        <w:pStyle w:val="ListBullet"/>
        <w:spacing w:after="80"/>
      </w:pPr>
      <w:r>
        <w:rPr>
          <w:rFonts w:ascii="Calibri" w:hAnsi="Calibri"/>
          <w:color w:val="16181D"/>
          <w:sz w:val="21"/>
        </w:rPr>
        <w:t>treat unapproved AI suggestions as official requirements.</w:t>
      </w:r>
    </w:p>
    <w:p>
      <w:pPr>
        <w:pStyle w:val="Heading1"/>
      </w:pPr>
      <w:r>
        <w:t>Users and Outcomes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16181D"/>
          </w:tcPr>
          <w:p>
            <w:r>
              <w:rPr>
                <w:rFonts w:ascii="Calibri" w:hAnsi="Calibri"/>
                <w:b/>
                <w:color w:val="FFFFFF"/>
                <w:sz w:val="19"/>
              </w:rPr>
              <w:t>User</w:t>
            </w:r>
          </w:p>
        </w:tc>
        <w:tc>
          <w:tcPr>
            <w:tcW w:type="dxa" w:w="4680"/>
            <w:tcMar>
              <w:top w:w="80" w:type="dxa"/>
              <w:start w:w="120" w:type="dxa"/>
              <w:bottom w:w="80" w:type="dxa"/>
              <w:end w:w="120" w:type="dxa"/>
            </w:tcMar>
            <w:vAlign w:val="center"/>
            <w:shd w:fill="16181D"/>
          </w:tcPr>
          <w:p>
            <w:r>
              <w:rPr>
                <w:rFonts w:ascii="Calibri" w:hAnsi="Calibri"/>
                <w:b/>
                <w:color w:val="FFFFFF"/>
                <w:sz w:val="19"/>
              </w:rPr>
              <w:t>Primary outcome</w:t>
            </w:r>
          </w:p>
        </w:tc>
      </w:tr>
      <w:tr>
        <w:tc>
          <w:tcPr>
            <w:tcW w:type="dxa" w:w="4680"/>
            <w:tcMar>
              <w:top w:w="80" w:type="dxa"/>
              <w:start w:w="120" w:type="dxa"/>
              <w:bottom w:w="80" w:type="dxa"/>
              <w:end w:w="120" w:type="dxa"/>
            </w:tcMar>
            <w:vAlign w:val="center"/>
          </w:tcPr>
          <w:p>
            <w:r>
              <w:rPr>
                <w:rFonts w:ascii="Calibri" w:hAnsi="Calibri"/>
                <w:b w:val="0"/>
                <w:color w:val="16181D"/>
                <w:sz w:val="19"/>
              </w:rPr>
              <w:t>Product Owner / Business Analyst</w:t>
            </w:r>
          </w:p>
        </w:tc>
        <w:tc>
          <w:tcPr>
            <w:tcW w:type="dxa" w:w="4680"/>
            <w:tcMar>
              <w:top w:w="80" w:type="dxa"/>
              <w:start w:w="120" w:type="dxa"/>
              <w:bottom w:w="80" w:type="dxa"/>
              <w:end w:w="120" w:type="dxa"/>
            </w:tcMar>
            <w:vAlign w:val="center"/>
          </w:tcPr>
          <w:p>
            <w:r>
              <w:rPr>
                <w:rFonts w:ascii="Calibri" w:hAnsi="Calibri"/>
                <w:b w:val="0"/>
                <w:color w:val="16181D"/>
                <w:sz w:val="19"/>
              </w:rPr>
              <w:t>Convert incomplete source material into a reviewable engineering requirement.</w:t>
            </w:r>
          </w:p>
        </w:tc>
      </w:tr>
      <w:tr>
        <w:tc>
          <w:tcPr>
            <w:tcW w:type="dxa" w:w="4680"/>
            <w:tcMar>
              <w:top w:w="80" w:type="dxa"/>
              <w:start w:w="120" w:type="dxa"/>
              <w:bottom w:w="80" w:type="dxa"/>
              <w:end w:w="120" w:type="dxa"/>
            </w:tcMar>
            <w:vAlign w:val="center"/>
          </w:tcPr>
          <w:p>
            <w:r>
              <w:rPr>
                <w:rFonts w:ascii="Calibri" w:hAnsi="Calibri"/>
                <w:b w:val="0"/>
                <w:color w:val="16181D"/>
                <w:sz w:val="19"/>
              </w:rPr>
              <w:t>Engineering Manager</w:t>
            </w:r>
          </w:p>
        </w:tc>
        <w:tc>
          <w:tcPr>
            <w:tcW w:type="dxa" w:w="4680"/>
            <w:tcMar>
              <w:top w:w="80" w:type="dxa"/>
              <w:start w:w="120" w:type="dxa"/>
              <w:bottom w:w="80" w:type="dxa"/>
              <w:end w:w="120" w:type="dxa"/>
            </w:tcMar>
            <w:vAlign w:val="center"/>
          </w:tcPr>
          <w:p>
            <w:r>
              <w:rPr>
                <w:rFonts w:ascii="Calibri" w:hAnsi="Calibri"/>
                <w:b w:val="0"/>
                <w:color w:val="16181D"/>
                <w:sz w:val="19"/>
              </w:rPr>
              <w:t>Understand scope, reuse, risk, dependencies, estimates, and readiness before approval.</w:t>
            </w:r>
          </w:p>
        </w:tc>
      </w:tr>
      <w:tr>
        <w:tc>
          <w:tcPr>
            <w:tcW w:type="dxa" w:w="4680"/>
            <w:tcMar>
              <w:top w:w="80" w:type="dxa"/>
              <w:start w:w="120" w:type="dxa"/>
              <w:bottom w:w="80" w:type="dxa"/>
              <w:end w:w="120" w:type="dxa"/>
            </w:tcMar>
            <w:vAlign w:val="center"/>
          </w:tcPr>
          <w:p>
            <w:r>
              <w:rPr>
                <w:rFonts w:ascii="Calibri" w:hAnsi="Calibri"/>
                <w:b w:val="0"/>
                <w:color w:val="16181D"/>
                <w:sz w:val="19"/>
              </w:rPr>
              <w:t>Architect / Technical Lead</w:t>
            </w:r>
          </w:p>
        </w:tc>
        <w:tc>
          <w:tcPr>
            <w:tcW w:type="dxa" w:w="4680"/>
            <w:tcMar>
              <w:top w:w="80" w:type="dxa"/>
              <w:start w:w="120" w:type="dxa"/>
              <w:bottom w:w="80" w:type="dxa"/>
              <w:end w:w="120" w:type="dxa"/>
            </w:tcMar>
            <w:vAlign w:val="center"/>
          </w:tcPr>
          <w:p>
            <w:r>
              <w:rPr>
                <w:rFonts w:ascii="Calibri" w:hAnsi="Calibri"/>
                <w:b w:val="0"/>
                <w:color w:val="16181D"/>
                <w:sz w:val="19"/>
              </w:rPr>
              <w:t>Review repository impact, architecture evidence, constraints, and implementation strategy.</w:t>
            </w:r>
          </w:p>
        </w:tc>
      </w:tr>
      <w:tr>
        <w:tc>
          <w:tcPr>
            <w:tcW w:type="dxa" w:w="4680"/>
            <w:tcMar>
              <w:top w:w="80" w:type="dxa"/>
              <w:start w:w="120" w:type="dxa"/>
              <w:bottom w:w="80" w:type="dxa"/>
              <w:end w:w="120" w:type="dxa"/>
            </w:tcMar>
            <w:vAlign w:val="center"/>
          </w:tcPr>
          <w:p>
            <w:r>
              <w:rPr>
                <w:rFonts w:ascii="Calibri" w:hAnsi="Calibri"/>
                <w:b w:val="0"/>
                <w:color w:val="16181D"/>
                <w:sz w:val="19"/>
              </w:rPr>
              <w:t>Developer</w:t>
            </w:r>
          </w:p>
        </w:tc>
        <w:tc>
          <w:tcPr>
            <w:tcW w:type="dxa" w:w="4680"/>
            <w:tcMar>
              <w:top w:w="80" w:type="dxa"/>
              <w:start w:w="120" w:type="dxa"/>
              <w:bottom w:w="80" w:type="dxa"/>
              <w:end w:w="120" w:type="dxa"/>
            </w:tcMar>
            <w:vAlign w:val="center"/>
          </w:tcPr>
          <w:p>
            <w:r>
              <w:rPr>
                <w:rFonts w:ascii="Calibri" w:hAnsi="Calibri"/>
                <w:b w:val="0"/>
                <w:color w:val="16181D"/>
                <w:sz w:val="19"/>
              </w:rPr>
              <w:t>Receive a bounded Implementation Package, plan, and provider-ready Execution Prompt.</w:t>
            </w:r>
          </w:p>
        </w:tc>
      </w:tr>
      <w:tr>
        <w:tc>
          <w:tcPr>
            <w:tcW w:type="dxa" w:w="4680"/>
            <w:tcMar>
              <w:top w:w="80" w:type="dxa"/>
              <w:start w:w="120" w:type="dxa"/>
              <w:bottom w:w="80" w:type="dxa"/>
              <w:end w:w="120" w:type="dxa"/>
            </w:tcMar>
            <w:vAlign w:val="center"/>
          </w:tcPr>
          <w:p>
            <w:r>
              <w:rPr>
                <w:rFonts w:ascii="Calibri" w:hAnsi="Calibri"/>
                <w:b w:val="0"/>
                <w:color w:val="16181D"/>
                <w:sz w:val="19"/>
              </w:rPr>
              <w:t>QA Engineer</w:t>
            </w:r>
          </w:p>
        </w:tc>
        <w:tc>
          <w:tcPr>
            <w:tcW w:type="dxa" w:w="4680"/>
            <w:tcMar>
              <w:top w:w="80" w:type="dxa"/>
              <w:start w:w="120" w:type="dxa"/>
              <w:bottom w:w="80" w:type="dxa"/>
              <w:end w:w="120" w:type="dxa"/>
            </w:tcMar>
            <w:vAlign w:val="center"/>
          </w:tcPr>
          <w:p>
            <w:r>
              <w:rPr>
                <w:rFonts w:ascii="Calibri" w:hAnsi="Calibri"/>
                <w:b w:val="0"/>
                <w:color w:val="16181D"/>
                <w:sz w:val="19"/>
              </w:rPr>
              <w:t>Evaluate acceptance coverage, test gaps, regression risk, and release readiness.</w:t>
            </w:r>
          </w:p>
        </w:tc>
      </w:tr>
      <w:tr>
        <w:tc>
          <w:tcPr>
            <w:tcW w:type="dxa" w:w="4680"/>
            <w:tcMar>
              <w:top w:w="80" w:type="dxa"/>
              <w:start w:w="120" w:type="dxa"/>
              <w:bottom w:w="80" w:type="dxa"/>
              <w:end w:w="120" w:type="dxa"/>
            </w:tcMar>
            <w:vAlign w:val="center"/>
          </w:tcPr>
          <w:p>
            <w:r>
              <w:rPr>
                <w:rFonts w:ascii="Calibri" w:hAnsi="Calibri"/>
                <w:b w:val="0"/>
                <w:color w:val="16181D"/>
                <w:sz w:val="19"/>
              </w:rPr>
              <w:t>Scrum Master / Delivery Lead</w:t>
            </w:r>
          </w:p>
        </w:tc>
        <w:tc>
          <w:tcPr>
            <w:tcW w:type="dxa" w:w="4680"/>
            <w:tcMar>
              <w:top w:w="80" w:type="dxa"/>
              <w:start w:w="120" w:type="dxa"/>
              <w:bottom w:w="80" w:type="dxa"/>
              <w:end w:w="120" w:type="dxa"/>
            </w:tcMar>
            <w:vAlign w:val="center"/>
          </w:tcPr>
          <w:p>
            <w:r>
              <w:rPr>
                <w:rFonts w:ascii="Calibri" w:hAnsi="Calibri"/>
                <w:b w:val="0"/>
                <w:color w:val="16181D"/>
                <w:sz w:val="19"/>
              </w:rPr>
              <w:t>Understand sprint flow, blockers, carryover, review bottlenecks, and forecast confidence.</w:t>
            </w:r>
          </w:p>
        </w:tc>
      </w:tr>
      <w:tr>
        <w:tc>
          <w:tcPr>
            <w:tcW w:type="dxa" w:w="4680"/>
            <w:tcMar>
              <w:top w:w="80" w:type="dxa"/>
              <w:start w:w="120" w:type="dxa"/>
              <w:bottom w:w="80" w:type="dxa"/>
              <w:end w:w="120" w:type="dxa"/>
            </w:tcMar>
            <w:vAlign w:val="center"/>
          </w:tcPr>
          <w:p>
            <w:r>
              <w:rPr>
                <w:rFonts w:ascii="Calibri" w:hAnsi="Calibri"/>
                <w:b w:val="0"/>
                <w:color w:val="16181D"/>
                <w:sz w:val="19"/>
              </w:rPr>
              <w:t>Platform Administrator</w:t>
            </w:r>
          </w:p>
        </w:tc>
        <w:tc>
          <w:tcPr>
            <w:tcW w:type="dxa" w:w="4680"/>
            <w:tcMar>
              <w:top w:w="80" w:type="dxa"/>
              <w:start w:w="120" w:type="dxa"/>
              <w:bottom w:w="80" w:type="dxa"/>
              <w:end w:w="120" w:type="dxa"/>
            </w:tcMar>
            <w:vAlign w:val="center"/>
          </w:tcPr>
          <w:p>
            <w:r>
              <w:rPr>
                <w:rFonts w:ascii="Calibri" w:hAnsi="Calibri"/>
                <w:b w:val="0"/>
                <w:color w:val="16181D"/>
                <w:sz w:val="19"/>
              </w:rPr>
              <w:t>Configure repositories, Azure DevOps, providers, agents, policies, diagnostics, and feature flags.</w:t>
            </w:r>
          </w:p>
        </w:tc>
      </w:tr>
    </w:tbl>
    <w:p>
      <w:pPr>
        <w:spacing w:after="40"/>
      </w:pPr>
    </w:p>
    <w:p>
      <w:r>
        <w:br w:type="page"/>
      </w:r>
    </w:p>
    <w:p>
      <w:pPr>
        <w:pStyle w:val="Heading1"/>
      </w:pPr>
      <w:r>
        <w:t>Platform Architecture</w:t>
      </w:r>
    </w:p>
    <w:p>
      <w:pPr>
        <w:keepNext/>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slide-04.png"/>
                    <pic:cNvPicPr/>
                  </pic:nvPicPr>
                  <pic:blipFill>
                    <a:blip r:embed="rId12"/>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1. HEI layered platform architecture.</w:t>
      </w:r>
    </w:p>
    <w:p>
      <w:pPr>
        <w:pStyle w:val="Heading2"/>
      </w:pPr>
      <w:r>
        <w:t>Architectural Direction</w:t>
      </w:r>
    </w:p>
    <w:p>
      <w:pPr>
        <w:widowControl/>
      </w:pPr>
      <w:r>
        <w:rPr>
          <w:rFonts w:ascii="Calibri" w:hAnsi="Calibri"/>
          <w:color w:val="16181D"/>
          <w:sz w:val="22"/>
        </w:rPr>
        <w:t>The application is currently delivered as a modular FastAPI backend with domain-oriented Python packages, React-based Azure DevOps experiences, and a TypeScript VS Code extension. The modules are separated by contracts even when they run in the same backend process.</w:t>
      </w:r>
    </w:p>
    <w:p>
      <w:pPr>
        <w:widowControl/>
      </w:pPr>
      <w:r>
        <w:rPr>
          <w:rFonts w:ascii="Calibri" w:hAnsi="Calibri"/>
          <w:color w:val="16181D"/>
          <w:sz w:val="22"/>
        </w:rPr>
        <w:t>This modular-monolith approach keeps local development and deployment simple while preserving boundaries for future service extraction.</w:t>
      </w:r>
    </w:p>
    <w:p>
      <w:pPr>
        <w:pStyle w:val="Heading1"/>
      </w:pPr>
      <w:r>
        <w:t>Application Components</w:t>
      </w:r>
    </w:p>
    <w:p>
      <w:pPr>
        <w:pStyle w:val="Heading2"/>
      </w:pPr>
      <w:r>
        <w:t>Experience Layer</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16181D"/>
          </w:tcPr>
          <w:p>
            <w:r>
              <w:rPr>
                <w:rFonts w:ascii="Calibri" w:hAnsi="Calibri"/>
                <w:b/>
                <w:color w:val="FFFFFF"/>
                <w:sz w:val="19"/>
              </w:rPr>
              <w:t>Component</w:t>
            </w:r>
          </w:p>
        </w:tc>
        <w:tc>
          <w:tcPr>
            <w:tcW w:type="dxa" w:w="3120"/>
            <w:tcMar>
              <w:top w:w="80" w:type="dxa"/>
              <w:start w:w="120" w:type="dxa"/>
              <w:bottom w:w="80" w:type="dxa"/>
              <w:end w:w="120" w:type="dxa"/>
            </w:tcMar>
            <w:vAlign w:val="center"/>
            <w:shd w:fill="16181D"/>
          </w:tcPr>
          <w:p>
            <w:r>
              <w:rPr>
                <w:rFonts w:ascii="Calibri" w:hAnsi="Calibri"/>
                <w:b/>
                <w:color w:val="FFFFFF"/>
                <w:sz w:val="19"/>
              </w:rPr>
              <w:t>Implementation</w:t>
            </w:r>
          </w:p>
        </w:tc>
        <w:tc>
          <w:tcPr>
            <w:tcW w:type="dxa" w:w="3120"/>
            <w:tcMar>
              <w:top w:w="80" w:type="dxa"/>
              <w:start w:w="120" w:type="dxa"/>
              <w:bottom w:w="80" w:type="dxa"/>
              <w:end w:w="120" w:type="dxa"/>
            </w:tcMar>
            <w:vAlign w:val="center"/>
            <w:shd w:fill="16181D"/>
          </w:tcPr>
          <w:p>
            <w:r>
              <w:rPr>
                <w:rFonts w:ascii="Calibri" w:hAnsi="Calibri"/>
                <w:b/>
                <w:color w:val="FFFFFF"/>
                <w:sz w:val="19"/>
              </w:rPr>
              <w:t>Purpose</w:t>
            </w:r>
          </w:p>
        </w:tc>
      </w:tr>
      <w:tr>
        <w:tc>
          <w:tcPr>
            <w:tcW w:type="dxa" w:w="3120"/>
            <w:tcMar>
              <w:top w:w="80" w:type="dxa"/>
              <w:start w:w="120" w:type="dxa"/>
              <w:bottom w:w="80" w:type="dxa"/>
              <w:end w:w="120" w:type="dxa"/>
            </w:tcMar>
            <w:vAlign w:val="center"/>
          </w:tcPr>
          <w:p>
            <w:r>
              <w:rPr>
                <w:rFonts w:ascii="Calibri" w:hAnsi="Calibri"/>
                <w:b w:val="0"/>
                <w:color w:val="16181D"/>
                <w:sz w:val="19"/>
              </w:rPr>
              <w:t>Engineering Command Center</w:t>
            </w:r>
          </w:p>
        </w:tc>
        <w:tc>
          <w:tcPr>
            <w:tcW w:type="dxa" w:w="3120"/>
            <w:tcMar>
              <w:top w:w="80" w:type="dxa"/>
              <w:start w:w="120" w:type="dxa"/>
              <w:bottom w:w="80" w:type="dxa"/>
              <w:end w:w="120" w:type="dxa"/>
            </w:tcMar>
            <w:vAlign w:val="center"/>
          </w:tcPr>
          <w:p>
            <w:r>
              <w:rPr>
                <w:rFonts w:ascii="Calibri" w:hAnsi="Calibri"/>
                <w:b w:val="0"/>
                <w:color w:val="16181D"/>
                <w:sz w:val="19"/>
              </w:rPr>
              <w:t>Shared React application in the Azure DevOps extension</w:t>
            </w:r>
          </w:p>
        </w:tc>
        <w:tc>
          <w:tcPr>
            <w:tcW w:type="dxa" w:w="3120"/>
            <w:tcMar>
              <w:top w:w="80" w:type="dxa"/>
              <w:start w:w="120" w:type="dxa"/>
              <w:bottom w:w="80" w:type="dxa"/>
              <w:end w:w="120" w:type="dxa"/>
            </w:tcMar>
            <w:vAlign w:val="center"/>
          </w:tcPr>
          <w:p>
            <w:r>
              <w:rPr>
                <w:rFonts w:ascii="Calibri" w:hAnsi="Calibri"/>
                <w:b w:val="0"/>
                <w:color w:val="16181D"/>
                <w:sz w:val="19"/>
              </w:rPr>
              <w:t>Operational workspace for Overview, Requirements, Planning, Repository, Execution, Approvals, Azure DevOps, Agents, Activity, Health, and Administration.</w:t>
            </w:r>
          </w:p>
        </w:tc>
      </w:tr>
      <w:tr>
        <w:tc>
          <w:tcPr>
            <w:tcW w:type="dxa" w:w="3120"/>
            <w:tcMar>
              <w:top w:w="80" w:type="dxa"/>
              <w:start w:w="120" w:type="dxa"/>
              <w:bottom w:w="80" w:type="dxa"/>
              <w:end w:w="120" w:type="dxa"/>
            </w:tcMar>
            <w:vAlign w:val="center"/>
          </w:tcPr>
          <w:p>
            <w:r>
              <w:rPr>
                <w:rFonts w:ascii="Calibri" w:hAnsi="Calibri"/>
                <w:b w:val="0"/>
                <w:color w:val="16181D"/>
                <w:sz w:val="19"/>
              </w:rPr>
              <w:t>Azure DevOps work-item contributions</w:t>
            </w:r>
          </w:p>
        </w:tc>
        <w:tc>
          <w:tcPr>
            <w:tcW w:type="dxa" w:w="3120"/>
            <w:tcMar>
              <w:top w:w="80" w:type="dxa"/>
              <w:start w:w="120" w:type="dxa"/>
              <w:bottom w:w="80" w:type="dxa"/>
              <w:end w:w="120" w:type="dxa"/>
            </w:tcMar>
            <w:vAlign w:val="center"/>
          </w:tcPr>
          <w:p>
            <w:r>
              <w:rPr>
                <w:rFonts w:ascii="Calibri" w:hAnsi="Calibri"/>
                <w:b w:val="0"/>
                <w:color w:val="16181D"/>
                <w:sz w:val="19"/>
              </w:rPr>
              <w:t>Azure DevOps extension entry points</w:t>
            </w:r>
          </w:p>
        </w:tc>
        <w:tc>
          <w:tcPr>
            <w:tcW w:type="dxa" w:w="3120"/>
            <w:tcMar>
              <w:top w:w="80" w:type="dxa"/>
              <w:start w:w="120" w:type="dxa"/>
              <w:bottom w:w="80" w:type="dxa"/>
              <w:end w:w="120" w:type="dxa"/>
            </w:tcMar>
            <w:vAlign w:val="center"/>
          </w:tcPr>
          <w:p>
            <w:r>
              <w:rPr>
                <w:rFonts w:ascii="Calibri" w:hAnsi="Calibri"/>
                <w:b w:val="0"/>
                <w:color w:val="16181D"/>
                <w:sz w:val="19"/>
              </w:rPr>
              <w:t>Open HEI in context of an Epic, Feature, Story, Task, repository, sprint, or PR.</w:t>
            </w:r>
          </w:p>
        </w:tc>
      </w:tr>
      <w:tr>
        <w:tc>
          <w:tcPr>
            <w:tcW w:type="dxa" w:w="3120"/>
            <w:tcMar>
              <w:top w:w="80" w:type="dxa"/>
              <w:start w:w="120" w:type="dxa"/>
              <w:bottom w:w="80" w:type="dxa"/>
              <w:end w:w="120" w:type="dxa"/>
            </w:tcMar>
            <w:vAlign w:val="center"/>
          </w:tcPr>
          <w:p>
            <w:r>
              <w:rPr>
                <w:rFonts w:ascii="Calibri" w:hAnsi="Calibri"/>
                <w:b w:val="0"/>
                <w:color w:val="16181D"/>
                <w:sz w:val="19"/>
              </w:rPr>
              <w:t>VS Code Engineering Assistant</w:t>
            </w:r>
          </w:p>
        </w:tc>
        <w:tc>
          <w:tcPr>
            <w:tcW w:type="dxa" w:w="3120"/>
            <w:tcMar>
              <w:top w:w="80" w:type="dxa"/>
              <w:start w:w="120" w:type="dxa"/>
              <w:bottom w:w="80" w:type="dxa"/>
              <w:end w:w="120" w:type="dxa"/>
            </w:tcMar>
            <w:vAlign w:val="center"/>
          </w:tcPr>
          <w:p>
            <w:r>
              <w:rPr>
                <w:rFonts w:ascii="Calibri" w:hAnsi="Calibri"/>
                <w:b w:val="0"/>
                <w:color w:val="16181D"/>
                <w:sz w:val="19"/>
              </w:rPr>
              <w:t>TypeScript VS Code extension</w:t>
            </w:r>
          </w:p>
        </w:tc>
        <w:tc>
          <w:tcPr>
            <w:tcW w:type="dxa" w:w="3120"/>
            <w:tcMar>
              <w:top w:w="80" w:type="dxa"/>
              <w:start w:w="120" w:type="dxa"/>
              <w:bottom w:w="80" w:type="dxa"/>
              <w:end w:w="120" w:type="dxa"/>
            </w:tcMar>
            <w:vAlign w:val="center"/>
          </w:tcPr>
          <w:p>
            <w:r>
              <w:rPr>
                <w:rFonts w:ascii="Calibri" w:hAnsi="Calibri"/>
                <w:b w:val="0"/>
                <w:color w:val="16181D"/>
                <w:sz w:val="19"/>
              </w:rPr>
              <w:t>Continue from HEI into a repository-aware implementation workspace and copy/open the generated Execution Prompt.</w:t>
            </w:r>
          </w:p>
        </w:tc>
      </w:tr>
      <w:tr>
        <w:tc>
          <w:tcPr>
            <w:tcW w:type="dxa" w:w="3120"/>
            <w:tcMar>
              <w:top w:w="80" w:type="dxa"/>
              <w:start w:w="120" w:type="dxa"/>
              <w:bottom w:w="80" w:type="dxa"/>
              <w:end w:w="120" w:type="dxa"/>
            </w:tcMar>
            <w:vAlign w:val="center"/>
          </w:tcPr>
          <w:p>
            <w:r>
              <w:rPr>
                <w:rFonts w:ascii="Calibri" w:hAnsi="Calibri"/>
                <w:b w:val="0"/>
                <w:color w:val="16181D"/>
                <w:sz w:val="19"/>
              </w:rPr>
              <w:t>Standalone host</w:t>
            </w:r>
          </w:p>
        </w:tc>
        <w:tc>
          <w:tcPr>
            <w:tcW w:type="dxa" w:w="3120"/>
            <w:tcMar>
              <w:top w:w="80" w:type="dxa"/>
              <w:start w:w="120" w:type="dxa"/>
              <w:bottom w:w="80" w:type="dxa"/>
              <w:end w:w="120" w:type="dxa"/>
            </w:tcMar>
            <w:vAlign w:val="center"/>
          </w:tcPr>
          <w:p>
            <w:r>
              <w:rPr>
                <w:rFonts w:ascii="Calibri" w:hAnsi="Calibri"/>
                <w:b w:val="0"/>
                <w:color w:val="16181D"/>
                <w:sz w:val="19"/>
              </w:rPr>
              <w:t>Shared host-adapter contract</w:t>
            </w:r>
          </w:p>
        </w:tc>
        <w:tc>
          <w:tcPr>
            <w:tcW w:type="dxa" w:w="3120"/>
            <w:tcMar>
              <w:top w:w="80" w:type="dxa"/>
              <w:start w:w="120" w:type="dxa"/>
              <w:bottom w:w="80" w:type="dxa"/>
              <w:end w:w="120" w:type="dxa"/>
            </w:tcMar>
            <w:vAlign w:val="center"/>
          </w:tcPr>
          <w:p>
            <w:r>
              <w:rPr>
                <w:rFonts w:ascii="Calibri" w:hAnsi="Calibri"/>
                <w:b w:val="0"/>
                <w:color w:val="16181D"/>
                <w:sz w:val="19"/>
              </w:rPr>
              <w:t>Runs the same HEI application outside Azure DevOps where configured.</w:t>
            </w:r>
          </w:p>
        </w:tc>
      </w:tr>
      <w:tr>
        <w:tc>
          <w:tcPr>
            <w:tcW w:type="dxa" w:w="3120"/>
            <w:tcMar>
              <w:top w:w="80" w:type="dxa"/>
              <w:start w:w="120" w:type="dxa"/>
              <w:bottom w:w="80" w:type="dxa"/>
              <w:end w:w="120" w:type="dxa"/>
            </w:tcMar>
            <w:vAlign w:val="center"/>
          </w:tcPr>
          <w:p>
            <w:r>
              <w:rPr>
                <w:rFonts w:ascii="Calibri" w:hAnsi="Calibri"/>
                <w:b w:val="0"/>
                <w:color w:val="16181D"/>
                <w:sz w:val="19"/>
              </w:rPr>
              <w:t>HEI Platform SDK</w:t>
            </w:r>
          </w:p>
        </w:tc>
        <w:tc>
          <w:tcPr>
            <w:tcW w:type="dxa" w:w="3120"/>
            <w:tcMar>
              <w:top w:w="80" w:type="dxa"/>
              <w:start w:w="120" w:type="dxa"/>
              <w:bottom w:w="80" w:type="dxa"/>
              <w:end w:w="120" w:type="dxa"/>
            </w:tcMar>
            <w:vAlign w:val="center"/>
          </w:tcPr>
          <w:p>
            <w:r>
              <w:rPr>
                <w:rFonts w:ascii="Calibri" w:hAnsi="Calibri"/>
                <w:b w:val="0"/>
                <w:color w:val="16181D"/>
                <w:sz w:val="19"/>
              </w:rPr>
              <w:t>Transport-independent service contracts</w:t>
            </w:r>
          </w:p>
        </w:tc>
        <w:tc>
          <w:tcPr>
            <w:tcW w:type="dxa" w:w="3120"/>
            <w:tcMar>
              <w:top w:w="80" w:type="dxa"/>
              <w:start w:w="120" w:type="dxa"/>
              <w:bottom w:w="80" w:type="dxa"/>
              <w:end w:w="120" w:type="dxa"/>
            </w:tcMar>
            <w:vAlign w:val="center"/>
          </w:tcPr>
          <w:p>
            <w:r>
              <w:rPr>
                <w:rFonts w:ascii="Calibri" w:hAnsi="Calibri"/>
                <w:b w:val="0"/>
                <w:color w:val="16181D"/>
                <w:sz w:val="19"/>
              </w:rPr>
              <w:t>Gives clients one programming model while REST routes remain an implementation detail.</w:t>
            </w:r>
          </w:p>
        </w:tc>
      </w:tr>
      <w:tr>
        <w:tc>
          <w:tcPr>
            <w:tcW w:type="dxa" w:w="3120"/>
            <w:tcMar>
              <w:top w:w="80" w:type="dxa"/>
              <w:start w:w="120" w:type="dxa"/>
              <w:bottom w:w="80" w:type="dxa"/>
              <w:end w:w="120" w:type="dxa"/>
            </w:tcMar>
            <w:vAlign w:val="center"/>
          </w:tcPr>
          <w:p>
            <w:r>
              <w:rPr>
                <w:rFonts w:ascii="Calibri" w:hAnsi="Calibri"/>
                <w:b w:val="0"/>
                <w:color w:val="16181D"/>
                <w:sz w:val="19"/>
              </w:rPr>
              <w:t>Backend APIs</w:t>
            </w:r>
          </w:p>
        </w:tc>
        <w:tc>
          <w:tcPr>
            <w:tcW w:type="dxa" w:w="3120"/>
            <w:tcMar>
              <w:top w:w="80" w:type="dxa"/>
              <w:start w:w="120" w:type="dxa"/>
              <w:bottom w:w="80" w:type="dxa"/>
              <w:end w:w="120" w:type="dxa"/>
            </w:tcMar>
            <w:vAlign w:val="center"/>
          </w:tcPr>
          <w:p>
            <w:r>
              <w:rPr>
                <w:rFonts w:ascii="Calibri" w:hAnsi="Calibri"/>
                <w:b w:val="0"/>
                <w:color w:val="16181D"/>
                <w:sz w:val="19"/>
              </w:rPr>
              <w:t>FastAPI routers</w:t>
            </w:r>
          </w:p>
        </w:tc>
        <w:tc>
          <w:tcPr>
            <w:tcW w:type="dxa" w:w="3120"/>
            <w:tcMar>
              <w:top w:w="80" w:type="dxa"/>
              <w:start w:w="120" w:type="dxa"/>
              <w:bottom w:w="80" w:type="dxa"/>
              <w:end w:w="120" w:type="dxa"/>
            </w:tcMar>
            <w:vAlign w:val="center"/>
          </w:tcPr>
          <w:p>
            <w:r>
              <w:rPr>
                <w:rFonts w:ascii="Calibri" w:hAnsi="Calibri"/>
                <w:b w:val="0"/>
                <w:color w:val="16181D"/>
                <w:sz w:val="19"/>
              </w:rPr>
              <w:t>Expose versioned domain operations, diagnostics, and read models.</w:t>
            </w:r>
          </w:p>
        </w:tc>
      </w:tr>
    </w:tbl>
    <w:p>
      <w:pPr>
        <w:spacing w:after="40"/>
      </w:pPr>
    </w:p>
    <w:p>
      <w:pPr>
        <w:pStyle w:val="Heading2"/>
      </w:pPr>
      <w:r>
        <w:t>Intelligence Layer</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16181D"/>
          </w:tcPr>
          <w:p>
            <w:r>
              <w:rPr>
                <w:rFonts w:ascii="Calibri" w:hAnsi="Calibri"/>
                <w:b/>
                <w:color w:val="FFFFFF"/>
                <w:sz w:val="19"/>
              </w:rPr>
              <w:t>Capability</w:t>
            </w:r>
          </w:p>
        </w:tc>
        <w:tc>
          <w:tcPr>
            <w:tcW w:type="dxa" w:w="4680"/>
            <w:tcMar>
              <w:top w:w="80" w:type="dxa"/>
              <w:start w:w="120" w:type="dxa"/>
              <w:bottom w:w="80" w:type="dxa"/>
              <w:end w:w="120" w:type="dxa"/>
            </w:tcMar>
            <w:vAlign w:val="center"/>
            <w:shd w:fill="16181D"/>
          </w:tcPr>
          <w:p>
            <w:r>
              <w:rPr>
                <w:rFonts w:ascii="Calibri" w:hAnsi="Calibri"/>
                <w:b/>
                <w:color w:val="FFFFFF"/>
                <w:sz w:val="19"/>
              </w:rPr>
              <w:t>Current responsibility</w:t>
            </w:r>
          </w:p>
        </w:tc>
      </w:tr>
      <w:tr>
        <w:tc>
          <w:tcPr>
            <w:tcW w:type="dxa" w:w="4680"/>
            <w:tcMar>
              <w:top w:w="80" w:type="dxa"/>
              <w:start w:w="120" w:type="dxa"/>
              <w:bottom w:w="80" w:type="dxa"/>
              <w:end w:w="120" w:type="dxa"/>
            </w:tcMar>
            <w:vAlign w:val="center"/>
          </w:tcPr>
          <w:p>
            <w:r>
              <w:rPr>
                <w:rFonts w:ascii="Calibri" w:hAnsi="Calibri"/>
                <w:b w:val="0"/>
                <w:color w:val="16181D"/>
                <w:sz w:val="19"/>
              </w:rPr>
              <w:t>Requirement Intelligence</w:t>
            </w:r>
          </w:p>
        </w:tc>
        <w:tc>
          <w:tcPr>
            <w:tcW w:type="dxa" w:w="4680"/>
            <w:tcMar>
              <w:top w:w="80" w:type="dxa"/>
              <w:start w:w="120" w:type="dxa"/>
              <w:bottom w:w="80" w:type="dxa"/>
              <w:end w:w="120" w:type="dxa"/>
            </w:tcMar>
            <w:vAlign w:val="center"/>
          </w:tcPr>
          <w:p>
            <w:r>
              <w:rPr>
                <w:rFonts w:ascii="Calibri" w:hAnsi="Calibri"/>
                <w:b w:val="0"/>
                <w:color w:val="16181D"/>
                <w:sz w:val="19"/>
              </w:rPr>
              <w:t>Ingestion, parsing, refinement, analysis, repository detection, governance, Acceptance Criteria, and reviewed Requirement Summary.</w:t>
            </w:r>
          </w:p>
        </w:tc>
      </w:tr>
      <w:tr>
        <w:tc>
          <w:tcPr>
            <w:tcW w:type="dxa" w:w="4680"/>
            <w:tcMar>
              <w:top w:w="80" w:type="dxa"/>
              <w:start w:w="120" w:type="dxa"/>
              <w:bottom w:w="80" w:type="dxa"/>
              <w:end w:w="120" w:type="dxa"/>
            </w:tcMar>
            <w:vAlign w:val="center"/>
          </w:tcPr>
          <w:p>
            <w:r>
              <w:rPr>
                <w:rFonts w:ascii="Calibri" w:hAnsi="Calibri"/>
                <w:b w:val="0"/>
                <w:color w:val="16181D"/>
                <w:sz w:val="19"/>
              </w:rPr>
              <w:t>Engineering Intelligence</w:t>
            </w:r>
          </w:p>
        </w:tc>
        <w:tc>
          <w:tcPr>
            <w:tcW w:type="dxa" w:w="4680"/>
            <w:tcMar>
              <w:top w:w="80" w:type="dxa"/>
              <w:start w:w="120" w:type="dxa"/>
              <w:bottom w:w="80" w:type="dxa"/>
              <w:end w:w="120" w:type="dxa"/>
            </w:tcMar>
            <w:vAlign w:val="center"/>
          </w:tcPr>
          <w:p>
            <w:r>
              <w:rPr>
                <w:rFonts w:ascii="Calibri" w:hAnsi="Calibri"/>
                <w:b w:val="0"/>
                <w:color w:val="16181D"/>
                <w:sz w:val="19"/>
              </w:rPr>
              <w:t>Shared evidence orchestration across repository, Markdown, ADO, memory, knowledge, architecture, dependencies, and similar work.</w:t>
            </w:r>
          </w:p>
        </w:tc>
      </w:tr>
      <w:tr>
        <w:tc>
          <w:tcPr>
            <w:tcW w:type="dxa" w:w="4680"/>
            <w:tcMar>
              <w:top w:w="80" w:type="dxa"/>
              <w:start w:w="120" w:type="dxa"/>
              <w:bottom w:w="80" w:type="dxa"/>
              <w:end w:w="120" w:type="dxa"/>
            </w:tcMar>
            <w:vAlign w:val="center"/>
          </w:tcPr>
          <w:p>
            <w:r>
              <w:rPr>
                <w:rFonts w:ascii="Calibri" w:hAnsi="Calibri"/>
                <w:b w:val="0"/>
                <w:color w:val="16181D"/>
                <w:sz w:val="19"/>
              </w:rPr>
              <w:t>Planning Intelligence</w:t>
            </w:r>
          </w:p>
        </w:tc>
        <w:tc>
          <w:tcPr>
            <w:tcW w:type="dxa" w:w="4680"/>
            <w:tcMar>
              <w:top w:w="80" w:type="dxa"/>
              <w:start w:w="120" w:type="dxa"/>
              <w:bottom w:w="80" w:type="dxa"/>
              <w:end w:w="120" w:type="dxa"/>
            </w:tcMar>
            <w:vAlign w:val="center"/>
          </w:tcPr>
          <w:p>
            <w:r>
              <w:rPr>
                <w:rFonts w:ascii="Calibri" w:hAnsi="Calibri"/>
                <w:b w:val="0"/>
                <w:color w:val="16181D"/>
                <w:sz w:val="19"/>
              </w:rPr>
              <w:t>Context, strategy recommendation, proposal hierarchy, estimates, dependencies, validation, review, approval, and synchronization preview.</w:t>
            </w:r>
          </w:p>
        </w:tc>
      </w:tr>
      <w:tr>
        <w:tc>
          <w:tcPr>
            <w:tcW w:type="dxa" w:w="4680"/>
            <w:tcMar>
              <w:top w:w="80" w:type="dxa"/>
              <w:start w:w="120" w:type="dxa"/>
              <w:bottom w:w="80" w:type="dxa"/>
              <w:end w:w="120" w:type="dxa"/>
            </w:tcMar>
            <w:vAlign w:val="center"/>
          </w:tcPr>
          <w:p>
            <w:r>
              <w:rPr>
                <w:rFonts w:ascii="Calibri" w:hAnsi="Calibri"/>
                <w:b w:val="0"/>
                <w:color w:val="16181D"/>
                <w:sz w:val="19"/>
              </w:rPr>
              <w:t>Repository Intelligence</w:t>
            </w:r>
          </w:p>
        </w:tc>
        <w:tc>
          <w:tcPr>
            <w:tcW w:type="dxa" w:w="4680"/>
            <w:tcMar>
              <w:top w:w="80" w:type="dxa"/>
              <w:start w:w="120" w:type="dxa"/>
              <w:bottom w:w="80" w:type="dxa"/>
              <w:end w:w="120" w:type="dxa"/>
            </w:tcMar>
            <w:vAlign w:val="center"/>
          </w:tcPr>
          <w:p>
            <w:r>
              <w:rPr>
                <w:rFonts w:ascii="Calibri" w:hAnsi="Calibri"/>
                <w:b w:val="0"/>
                <w:color w:val="16181D"/>
                <w:sz w:val="19"/>
              </w:rPr>
              <w:t>Repository registration, full/incremental synchronization, snapshots, metadata parsing, symbols, graph relationships, ranking, health, and agents.</w:t>
            </w:r>
          </w:p>
        </w:tc>
      </w:tr>
      <w:tr>
        <w:tc>
          <w:tcPr>
            <w:tcW w:type="dxa" w:w="4680"/>
            <w:tcMar>
              <w:top w:w="80" w:type="dxa"/>
              <w:start w:w="120" w:type="dxa"/>
              <w:bottom w:w="80" w:type="dxa"/>
              <w:end w:w="120" w:type="dxa"/>
            </w:tcMar>
            <w:vAlign w:val="center"/>
          </w:tcPr>
          <w:p>
            <w:r>
              <w:rPr>
                <w:rFonts w:ascii="Calibri" w:hAnsi="Calibri"/>
                <w:b w:val="0"/>
                <w:color w:val="16181D"/>
                <w:sz w:val="19"/>
              </w:rPr>
              <w:t>Context Intelligence</w:t>
            </w:r>
          </w:p>
        </w:tc>
        <w:tc>
          <w:tcPr>
            <w:tcW w:type="dxa" w:w="4680"/>
            <w:tcMar>
              <w:top w:w="80" w:type="dxa"/>
              <w:start w:w="120" w:type="dxa"/>
              <w:bottom w:w="80" w:type="dxa"/>
              <w:end w:w="120" w:type="dxa"/>
            </w:tcMar>
            <w:vAlign w:val="center"/>
          </w:tcPr>
          <w:p>
            <w:r>
              <w:rPr>
                <w:rFonts w:ascii="Calibri" w:hAnsi="Calibri"/>
                <w:b w:val="0"/>
                <w:color w:val="16181D"/>
                <w:sz w:val="19"/>
              </w:rPr>
              <w:t>Source retrieval, ranking, rejection, deduplication, freshness, token allocation, and Context Capsule creation.</w:t>
            </w:r>
          </w:p>
        </w:tc>
      </w:tr>
      <w:tr>
        <w:tc>
          <w:tcPr>
            <w:tcW w:type="dxa" w:w="4680"/>
            <w:tcMar>
              <w:top w:w="80" w:type="dxa"/>
              <w:start w:w="120" w:type="dxa"/>
              <w:bottom w:w="80" w:type="dxa"/>
              <w:end w:w="120" w:type="dxa"/>
            </w:tcMar>
            <w:vAlign w:val="center"/>
          </w:tcPr>
          <w:p>
            <w:r>
              <w:rPr>
                <w:rFonts w:ascii="Calibri" w:hAnsi="Calibri"/>
                <w:b w:val="0"/>
                <w:color w:val="16181D"/>
                <w:sz w:val="19"/>
              </w:rPr>
              <w:t>Execution Intelligence</w:t>
            </w:r>
          </w:p>
        </w:tc>
        <w:tc>
          <w:tcPr>
            <w:tcW w:type="dxa" w:w="4680"/>
            <w:tcMar>
              <w:top w:w="80" w:type="dxa"/>
              <w:start w:w="120" w:type="dxa"/>
              <w:bottom w:w="80" w:type="dxa"/>
              <w:end w:w="120" w:type="dxa"/>
            </w:tcMar>
            <w:vAlign w:val="center"/>
          </w:tcPr>
          <w:p>
            <w:r>
              <w:rPr>
                <w:rFonts w:ascii="Calibri" w:hAnsi="Calibri"/>
                <w:b w:val="0"/>
                <w:color w:val="16181D"/>
                <w:sz w:val="19"/>
              </w:rPr>
              <w:t>Execution Package, Implementation Plan, execution readiness, standards, risk, and test expectations.</w:t>
            </w:r>
          </w:p>
        </w:tc>
      </w:tr>
      <w:tr>
        <w:tc>
          <w:tcPr>
            <w:tcW w:type="dxa" w:w="4680"/>
            <w:tcMar>
              <w:top w:w="80" w:type="dxa"/>
              <w:start w:w="120" w:type="dxa"/>
              <w:bottom w:w="80" w:type="dxa"/>
              <w:end w:w="120" w:type="dxa"/>
            </w:tcMar>
            <w:vAlign w:val="center"/>
          </w:tcPr>
          <w:p>
            <w:r>
              <w:rPr>
                <w:rFonts w:ascii="Calibri" w:hAnsi="Calibri"/>
                <w:b w:val="0"/>
                <w:color w:val="16181D"/>
                <w:sz w:val="19"/>
              </w:rPr>
              <w:t>Prompt Intelligence</w:t>
            </w:r>
          </w:p>
        </w:tc>
        <w:tc>
          <w:tcPr>
            <w:tcW w:type="dxa" w:w="4680"/>
            <w:tcMar>
              <w:top w:w="80" w:type="dxa"/>
              <w:start w:w="120" w:type="dxa"/>
              <w:bottom w:w="80" w:type="dxa"/>
              <w:end w:w="120" w:type="dxa"/>
            </w:tcMar>
            <w:vAlign w:val="center"/>
          </w:tcPr>
          <w:p>
            <w:r>
              <w:rPr>
                <w:rFonts w:ascii="Calibri" w:hAnsi="Calibri"/>
                <w:b w:val="0"/>
                <w:color w:val="16181D"/>
                <w:sz w:val="19"/>
              </w:rPr>
              <w:t>Execution Manifest, compilation, token budgeting, model profile, model adapter, optimization, routing, caching, and diagnostics.</w:t>
            </w:r>
          </w:p>
        </w:tc>
      </w:tr>
      <w:tr>
        <w:tc>
          <w:tcPr>
            <w:tcW w:type="dxa" w:w="4680"/>
            <w:tcMar>
              <w:top w:w="80" w:type="dxa"/>
              <w:start w:w="120" w:type="dxa"/>
              <w:bottom w:w="80" w:type="dxa"/>
              <w:end w:w="120" w:type="dxa"/>
            </w:tcMar>
            <w:vAlign w:val="center"/>
          </w:tcPr>
          <w:p>
            <w:r>
              <w:rPr>
                <w:rFonts w:ascii="Calibri" w:hAnsi="Calibri"/>
                <w:b w:val="0"/>
                <w:color w:val="16181D"/>
                <w:sz w:val="19"/>
              </w:rPr>
              <w:t>AI Execution Runtime</w:t>
            </w:r>
          </w:p>
        </w:tc>
        <w:tc>
          <w:tcPr>
            <w:tcW w:type="dxa" w:w="4680"/>
            <w:tcMar>
              <w:top w:w="80" w:type="dxa"/>
              <w:start w:w="120" w:type="dxa"/>
              <w:bottom w:w="80" w:type="dxa"/>
              <w:end w:w="120" w:type="dxa"/>
            </w:tcMar>
            <w:vAlign w:val="center"/>
          </w:tcPr>
          <w:p>
            <w:r>
              <w:rPr>
                <w:rFonts w:ascii="Calibri" w:hAnsi="Calibri"/>
                <w:b w:val="0"/>
                <w:color w:val="16181D"/>
                <w:sz w:val="19"/>
              </w:rPr>
              <w:t>Execution sessions, response interpretation, semantic diff, recovery, traces, and downstream trigger preparation.</w:t>
            </w:r>
          </w:p>
        </w:tc>
      </w:tr>
      <w:tr>
        <w:tc>
          <w:tcPr>
            <w:tcW w:type="dxa" w:w="4680"/>
            <w:tcMar>
              <w:top w:w="80" w:type="dxa"/>
              <w:start w:w="120" w:type="dxa"/>
              <w:bottom w:w="80" w:type="dxa"/>
              <w:end w:w="120" w:type="dxa"/>
            </w:tcMar>
            <w:vAlign w:val="center"/>
          </w:tcPr>
          <w:p>
            <w:r>
              <w:rPr>
                <w:rFonts w:ascii="Calibri" w:hAnsi="Calibri"/>
                <w:b w:val="0"/>
                <w:color w:val="16181D"/>
                <w:sz w:val="19"/>
              </w:rPr>
              <w:t>Validation Intelligence</w:t>
            </w:r>
          </w:p>
        </w:tc>
        <w:tc>
          <w:tcPr>
            <w:tcW w:type="dxa" w:w="4680"/>
            <w:tcMar>
              <w:top w:w="80" w:type="dxa"/>
              <w:start w:w="120" w:type="dxa"/>
              <w:bottom w:w="80" w:type="dxa"/>
              <w:end w:w="120" w:type="dxa"/>
            </w:tcMar>
            <w:vAlign w:val="center"/>
          </w:tcPr>
          <w:p>
            <w:r>
              <w:rPr>
                <w:rFonts w:ascii="Calibri" w:hAnsi="Calibri"/>
                <w:b w:val="0"/>
                <w:color w:val="16181D"/>
                <w:sz w:val="19"/>
              </w:rPr>
              <w:t>Acceptance, scope, repository, standards, test, and implementation-alignment validation.</w:t>
            </w:r>
          </w:p>
        </w:tc>
      </w:tr>
      <w:tr>
        <w:tc>
          <w:tcPr>
            <w:tcW w:type="dxa" w:w="4680"/>
            <w:tcMar>
              <w:top w:w="80" w:type="dxa"/>
              <w:start w:w="120" w:type="dxa"/>
              <w:bottom w:w="80" w:type="dxa"/>
              <w:end w:w="120" w:type="dxa"/>
            </w:tcMar>
            <w:vAlign w:val="center"/>
          </w:tcPr>
          <w:p>
            <w:r>
              <w:rPr>
                <w:rFonts w:ascii="Calibri" w:hAnsi="Calibri"/>
                <w:b w:val="0"/>
                <w:color w:val="16181D"/>
                <w:sz w:val="19"/>
              </w:rPr>
              <w:t>QA Intelligence</w:t>
            </w:r>
          </w:p>
        </w:tc>
        <w:tc>
          <w:tcPr>
            <w:tcW w:type="dxa" w:w="4680"/>
            <w:tcMar>
              <w:top w:w="80" w:type="dxa"/>
              <w:start w:w="120" w:type="dxa"/>
              <w:bottom w:w="80" w:type="dxa"/>
              <w:end w:w="120" w:type="dxa"/>
            </w:tcMar>
            <w:vAlign w:val="center"/>
          </w:tcPr>
          <w:p>
            <w:r>
              <w:rPr>
                <w:rFonts w:ascii="Calibri" w:hAnsi="Calibri"/>
                <w:b w:val="0"/>
                <w:color w:val="16181D"/>
                <w:sz w:val="19"/>
              </w:rPr>
              <w:t>Acceptance coverage, test generation, gap analysis, regression, risk, readiness, and release recommendation.</w:t>
            </w:r>
          </w:p>
        </w:tc>
      </w:tr>
      <w:tr>
        <w:tc>
          <w:tcPr>
            <w:tcW w:type="dxa" w:w="4680"/>
            <w:tcMar>
              <w:top w:w="80" w:type="dxa"/>
              <w:start w:w="120" w:type="dxa"/>
              <w:bottom w:w="80" w:type="dxa"/>
              <w:end w:w="120" w:type="dxa"/>
            </w:tcMar>
            <w:vAlign w:val="center"/>
          </w:tcPr>
          <w:p>
            <w:r>
              <w:rPr>
                <w:rFonts w:ascii="Calibri" w:hAnsi="Calibri"/>
                <w:b w:val="0"/>
                <w:color w:val="16181D"/>
                <w:sz w:val="19"/>
              </w:rPr>
              <w:t>Engineering Memory</w:t>
            </w:r>
          </w:p>
        </w:tc>
        <w:tc>
          <w:tcPr>
            <w:tcW w:type="dxa" w:w="4680"/>
            <w:tcMar>
              <w:top w:w="80" w:type="dxa"/>
              <w:start w:w="120" w:type="dxa"/>
              <w:bottom w:w="80" w:type="dxa"/>
              <w:end w:w="120" w:type="dxa"/>
            </w:tcMar>
            <w:vAlign w:val="center"/>
          </w:tcPr>
          <w:p>
            <w:r>
              <w:rPr>
                <w:rFonts w:ascii="Calibri" w:hAnsi="Calibri"/>
                <w:b w:val="0"/>
                <w:color w:val="16181D"/>
                <w:sz w:val="19"/>
              </w:rPr>
              <w:t>Approved patterns, decisions, lessons, architecture knowledge, execution history, and QA history.</w:t>
            </w:r>
          </w:p>
        </w:tc>
      </w:tr>
    </w:tbl>
    <w:p>
      <w:pPr>
        <w:spacing w:after="40"/>
      </w:pPr>
    </w:p>
    <w:p>
      <w:pPr>
        <w:pStyle w:val="Heading2"/>
      </w:pPr>
      <w:r>
        <w:t>Orchestration and Governance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16181D"/>
          </w:tcPr>
          <w:p>
            <w:r>
              <w:rPr>
                <w:rFonts w:ascii="Calibri" w:hAnsi="Calibri"/>
                <w:b/>
                <w:color w:val="FFFFFF"/>
                <w:sz w:val="19"/>
              </w:rPr>
              <w:t>Capability</w:t>
            </w:r>
          </w:p>
        </w:tc>
        <w:tc>
          <w:tcPr>
            <w:tcW w:type="dxa" w:w="4680"/>
            <w:tcMar>
              <w:top w:w="80" w:type="dxa"/>
              <w:start w:w="120" w:type="dxa"/>
              <w:bottom w:w="80" w:type="dxa"/>
              <w:end w:w="120" w:type="dxa"/>
            </w:tcMar>
            <w:vAlign w:val="center"/>
            <w:shd w:fill="16181D"/>
          </w:tcPr>
          <w:p>
            <w:r>
              <w:rPr>
                <w:rFonts w:ascii="Calibri" w:hAnsi="Calibri"/>
                <w:b/>
                <w:color w:val="FFFFFF"/>
                <w:sz w:val="19"/>
              </w:rPr>
              <w:t>Rule</w:t>
            </w:r>
          </w:p>
        </w:tc>
      </w:tr>
      <w:tr>
        <w:tc>
          <w:tcPr>
            <w:tcW w:type="dxa" w:w="4680"/>
            <w:tcMar>
              <w:top w:w="80" w:type="dxa"/>
              <w:start w:w="120" w:type="dxa"/>
              <w:bottom w:w="80" w:type="dxa"/>
              <w:end w:w="120" w:type="dxa"/>
            </w:tcMar>
            <w:vAlign w:val="center"/>
          </w:tcPr>
          <w:p>
            <w:r>
              <w:rPr>
                <w:rFonts w:ascii="Calibri" w:hAnsi="Calibri"/>
                <w:b w:val="0"/>
                <w:color w:val="16181D"/>
                <w:sz w:val="19"/>
              </w:rPr>
              <w:t>Engineering Lifecycle Manager</w:t>
            </w:r>
          </w:p>
        </w:tc>
        <w:tc>
          <w:tcPr>
            <w:tcW w:type="dxa" w:w="4680"/>
            <w:tcMar>
              <w:top w:w="80" w:type="dxa"/>
              <w:start w:w="120" w:type="dxa"/>
              <w:bottom w:w="80" w:type="dxa"/>
              <w:end w:w="120" w:type="dxa"/>
            </w:tcMar>
            <w:vAlign w:val="center"/>
          </w:tcPr>
          <w:p>
            <w:r>
              <w:rPr>
                <w:rFonts w:ascii="Calibri" w:hAnsi="Calibri"/>
                <w:b w:val="0"/>
                <w:color w:val="16181D"/>
                <w:sz w:val="19"/>
              </w:rPr>
              <w:t>Owns valid state transitions, progress, next actions, blockers, and history.</w:t>
            </w:r>
          </w:p>
        </w:tc>
      </w:tr>
      <w:tr>
        <w:tc>
          <w:tcPr>
            <w:tcW w:type="dxa" w:w="4680"/>
            <w:tcMar>
              <w:top w:w="80" w:type="dxa"/>
              <w:start w:w="120" w:type="dxa"/>
              <w:bottom w:w="80" w:type="dxa"/>
              <w:end w:w="120" w:type="dxa"/>
            </w:tcMar>
            <w:vAlign w:val="center"/>
          </w:tcPr>
          <w:p>
            <w:r>
              <w:rPr>
                <w:rFonts w:ascii="Calibri" w:hAnsi="Calibri"/>
                <w:b w:val="0"/>
                <w:color w:val="16181D"/>
                <w:sz w:val="19"/>
              </w:rPr>
              <w:t>Agent Runtime</w:t>
            </w:r>
          </w:p>
        </w:tc>
        <w:tc>
          <w:tcPr>
            <w:tcW w:type="dxa" w:w="4680"/>
            <w:tcMar>
              <w:top w:w="80" w:type="dxa"/>
              <w:start w:w="120" w:type="dxa"/>
              <w:bottom w:w="80" w:type="dxa"/>
              <w:end w:w="120" w:type="dxa"/>
            </w:tcMar>
            <w:vAlign w:val="center"/>
          </w:tcPr>
          <w:p>
            <w:r>
              <w:rPr>
                <w:rFonts w:ascii="Calibri" w:hAnsi="Calibri"/>
                <w:b w:val="0"/>
                <w:color w:val="16181D"/>
                <w:sz w:val="19"/>
              </w:rPr>
              <w:t>Responds to events and prepares work; it never auto-approves consequential actions.</w:t>
            </w:r>
          </w:p>
        </w:tc>
      </w:tr>
      <w:tr>
        <w:tc>
          <w:tcPr>
            <w:tcW w:type="dxa" w:w="4680"/>
            <w:tcMar>
              <w:top w:w="80" w:type="dxa"/>
              <w:start w:w="120" w:type="dxa"/>
              <w:bottom w:w="80" w:type="dxa"/>
              <w:end w:w="120" w:type="dxa"/>
            </w:tcMar>
            <w:vAlign w:val="center"/>
          </w:tcPr>
          <w:p>
            <w:r>
              <w:rPr>
                <w:rFonts w:ascii="Calibri" w:hAnsi="Calibri"/>
                <w:b w:val="0"/>
                <w:color w:val="16181D"/>
                <w:sz w:val="19"/>
              </w:rPr>
              <w:t>Engineering Skills</w:t>
            </w:r>
          </w:p>
        </w:tc>
        <w:tc>
          <w:tcPr>
            <w:tcW w:type="dxa" w:w="4680"/>
            <w:tcMar>
              <w:top w:w="80" w:type="dxa"/>
              <w:start w:w="120" w:type="dxa"/>
              <w:bottom w:w="80" w:type="dxa"/>
              <w:end w:w="120" w:type="dxa"/>
            </w:tcMar>
            <w:vAlign w:val="center"/>
          </w:tcPr>
          <w:p>
            <w:r>
              <w:rPr>
                <w:rFonts w:ascii="Calibri" w:hAnsi="Calibri"/>
                <w:b w:val="0"/>
                <w:color w:val="16181D"/>
                <w:sz w:val="19"/>
              </w:rPr>
              <w:t>Encapsulates reusable engineering operations discoverable by agents.</w:t>
            </w:r>
          </w:p>
        </w:tc>
      </w:tr>
      <w:tr>
        <w:tc>
          <w:tcPr>
            <w:tcW w:type="dxa" w:w="4680"/>
            <w:tcMar>
              <w:top w:w="80" w:type="dxa"/>
              <w:start w:w="120" w:type="dxa"/>
              <w:bottom w:w="80" w:type="dxa"/>
              <w:end w:w="120" w:type="dxa"/>
            </w:tcMar>
            <w:vAlign w:val="center"/>
          </w:tcPr>
          <w:p>
            <w:r>
              <w:rPr>
                <w:rFonts w:ascii="Calibri" w:hAnsi="Calibri"/>
                <w:b w:val="0"/>
                <w:color w:val="16181D"/>
                <w:sz w:val="19"/>
              </w:rPr>
              <w:t>Governance</w:t>
            </w:r>
          </w:p>
        </w:tc>
        <w:tc>
          <w:tcPr>
            <w:tcW w:type="dxa" w:w="4680"/>
            <w:tcMar>
              <w:top w:w="80" w:type="dxa"/>
              <w:start w:w="120" w:type="dxa"/>
              <w:bottom w:w="80" w:type="dxa"/>
              <w:end w:w="120" w:type="dxa"/>
            </w:tcMar>
            <w:vAlign w:val="center"/>
          </w:tcPr>
          <w:p>
            <w:r>
              <w:rPr>
                <w:rFonts w:ascii="Calibri" w:hAnsi="Calibri"/>
                <w:b w:val="0"/>
                <w:color w:val="16181D"/>
                <w:sz w:val="19"/>
              </w:rPr>
              <w:t>Enforces policies, approvals, compliance, metrics, feedback, observability, and scorecards.</w:t>
            </w:r>
          </w:p>
        </w:tc>
      </w:tr>
      <w:tr>
        <w:tc>
          <w:tcPr>
            <w:tcW w:type="dxa" w:w="4680"/>
            <w:tcMar>
              <w:top w:w="80" w:type="dxa"/>
              <w:start w:w="120" w:type="dxa"/>
              <w:bottom w:w="80" w:type="dxa"/>
              <w:end w:w="120" w:type="dxa"/>
            </w:tcMar>
            <w:vAlign w:val="center"/>
          </w:tcPr>
          <w:p>
            <w:r>
              <w:rPr>
                <w:rFonts w:ascii="Calibri" w:hAnsi="Calibri"/>
                <w:b w:val="0"/>
                <w:color w:val="16181D"/>
                <w:sz w:val="19"/>
              </w:rPr>
              <w:t>Intelligence Trace</w:t>
            </w:r>
          </w:p>
        </w:tc>
        <w:tc>
          <w:tcPr>
            <w:tcW w:type="dxa" w:w="4680"/>
            <w:tcMar>
              <w:top w:w="80" w:type="dxa"/>
              <w:start w:w="120" w:type="dxa"/>
              <w:bottom w:w="80" w:type="dxa"/>
              <w:end w:w="120" w:type="dxa"/>
            </w:tcMar>
            <w:vAlign w:val="center"/>
          </w:tcPr>
          <w:p>
            <w:r>
              <w:rPr>
                <w:rFonts w:ascii="Calibri" w:hAnsi="Calibri"/>
                <w:b w:val="0"/>
                <w:color w:val="16181D"/>
                <w:sz w:val="19"/>
              </w:rPr>
              <w:t>Records why an artifact, module, file, memory item, or recommendation was selected or rejected.</w:t>
            </w:r>
          </w:p>
        </w:tc>
      </w:tr>
      <w:tr>
        <w:tc>
          <w:tcPr>
            <w:tcW w:type="dxa" w:w="4680"/>
            <w:tcMar>
              <w:top w:w="80" w:type="dxa"/>
              <w:start w:w="120" w:type="dxa"/>
              <w:bottom w:w="80" w:type="dxa"/>
              <w:end w:w="120" w:type="dxa"/>
            </w:tcMar>
            <w:vAlign w:val="center"/>
          </w:tcPr>
          <w:p>
            <w:r>
              <w:rPr>
                <w:rFonts w:ascii="Calibri" w:hAnsi="Calibri"/>
                <w:b w:val="0"/>
                <w:color w:val="16181D"/>
                <w:sz w:val="19"/>
              </w:rPr>
              <w:t>Approval Center</w:t>
            </w:r>
          </w:p>
        </w:tc>
        <w:tc>
          <w:tcPr>
            <w:tcW w:type="dxa" w:w="4680"/>
            <w:tcMar>
              <w:top w:w="80" w:type="dxa"/>
              <w:start w:w="120" w:type="dxa"/>
              <w:bottom w:w="80" w:type="dxa"/>
              <w:end w:w="120" w:type="dxa"/>
            </w:tcMar>
            <w:vAlign w:val="center"/>
          </w:tcPr>
          <w:p>
            <w:r>
              <w:rPr>
                <w:rFonts w:ascii="Calibri" w:hAnsi="Calibri"/>
                <w:b w:val="0"/>
                <w:color w:val="16181D"/>
                <w:sz w:val="19"/>
              </w:rPr>
              <w:t>Provides one consistent approval experience across planning, execution, memory, ADO action packs, PR comments, and exceptions.</w:t>
            </w:r>
          </w:p>
        </w:tc>
      </w:tr>
    </w:tbl>
    <w:p>
      <w:pPr>
        <w:spacing w:after="40"/>
      </w:pPr>
    </w:p>
    <w:p>
      <w:pPr>
        <w:pStyle w:val="Heading2"/>
      </w:pPr>
      <w:r>
        <w:t>Platform Foundation</w:t>
      </w:r>
    </w:p>
    <w:p>
      <w:pPr>
        <w:widowControl/>
      </w:pPr>
      <w:r>
        <w:rPr>
          <w:rFonts w:ascii="Calibri" w:hAnsi="Calibri"/>
          <w:color w:val="16181D"/>
          <w:sz w:val="22"/>
        </w:rPr>
        <w:t>Platform Foundation supplies operational capabilities without making domain decisions:</w:t>
      </w:r>
    </w:p>
    <w:p>
      <w:pPr>
        <w:pStyle w:val="ListBullet"/>
        <w:spacing w:after="80"/>
      </w:pPr>
      <w:r>
        <w:rPr>
          <w:rFonts w:ascii="Calibri" w:hAnsi="Calibri"/>
          <w:color w:val="16181D"/>
          <w:sz w:val="21"/>
        </w:rPr>
        <w:t>queued and retryable jobs;</w:t>
      </w:r>
    </w:p>
    <w:p>
      <w:pPr>
        <w:pStyle w:val="ListBullet"/>
        <w:spacing w:after="80"/>
      </w:pPr>
      <w:r>
        <w:rPr>
          <w:rFonts w:ascii="Calibri" w:hAnsi="Calibri"/>
          <w:color w:val="16181D"/>
          <w:sz w:val="21"/>
        </w:rPr>
        <w:t>platform and domain events;</w:t>
      </w:r>
    </w:p>
    <w:p>
      <w:pPr>
        <w:pStyle w:val="ListBullet"/>
        <w:spacing w:after="80"/>
      </w:pPr>
      <w:r>
        <w:rPr>
          <w:rFonts w:ascii="Calibri" w:hAnsi="Calibri"/>
          <w:color w:val="16181D"/>
          <w:sz w:val="21"/>
        </w:rPr>
        <w:t>immutable audit records;</w:t>
      </w:r>
    </w:p>
    <w:p>
      <w:pPr>
        <w:pStyle w:val="ListBullet"/>
        <w:spacing w:after="80"/>
      </w:pPr>
      <w:r>
        <w:rPr>
          <w:rFonts w:ascii="Calibri" w:hAnsi="Calibri"/>
          <w:color w:val="16181D"/>
          <w:sz w:val="21"/>
        </w:rPr>
        <w:t>human-readable activity;</w:t>
      </w:r>
    </w:p>
    <w:p>
      <w:pPr>
        <w:pStyle w:val="ListBullet"/>
        <w:spacing w:after="80"/>
      </w:pPr>
      <w:r>
        <w:rPr>
          <w:rFonts w:ascii="Calibri" w:hAnsi="Calibri"/>
          <w:color w:val="16181D"/>
          <w:sz w:val="21"/>
        </w:rPr>
        <w:t>notifications;</w:t>
      </w:r>
    </w:p>
    <w:p>
      <w:pPr>
        <w:pStyle w:val="ListBullet"/>
        <w:spacing w:after="80"/>
      </w:pPr>
      <w:r>
        <w:rPr>
          <w:rFonts w:ascii="Calibri" w:hAnsi="Calibri"/>
          <w:color w:val="16181D"/>
          <w:sz w:val="21"/>
        </w:rPr>
        <w:t>health and diagnostics;</w:t>
      </w:r>
    </w:p>
    <w:p>
      <w:pPr>
        <w:pStyle w:val="ListBullet"/>
        <w:spacing w:after="80"/>
      </w:pPr>
      <w:r>
        <w:rPr>
          <w:rFonts w:ascii="Calibri" w:hAnsi="Calibri"/>
          <w:color w:val="16181D"/>
          <w:sz w:val="21"/>
        </w:rPr>
        <w:t>policy decisions;</w:t>
      </w:r>
    </w:p>
    <w:p>
      <w:pPr>
        <w:pStyle w:val="ListBullet"/>
        <w:spacing w:after="80"/>
      </w:pPr>
      <w:r>
        <w:rPr>
          <w:rFonts w:ascii="Calibri" w:hAnsi="Calibri"/>
          <w:color w:val="16181D"/>
          <w:sz w:val="21"/>
        </w:rPr>
        <w:t>correlation IDs; and</w:t>
      </w:r>
    </w:p>
    <w:p>
      <w:pPr>
        <w:pStyle w:val="ListBullet"/>
        <w:spacing w:after="80"/>
      </w:pPr>
      <w:r>
        <w:rPr>
          <w:rFonts w:ascii="Calibri" w:hAnsi="Calibri"/>
          <w:color w:val="16181D"/>
          <w:sz w:val="21"/>
        </w:rPr>
        <w:t>JSON-backed persistence abstractions.</w:t>
      </w:r>
    </w:p>
    <w:p>
      <w:r>
        <w:br w:type="page"/>
      </w:r>
    </w:p>
    <w:p>
      <w:pPr>
        <w:pStyle w:val="Heading1"/>
      </w:pPr>
      <w:r>
        <w:t>End-to-End Engineering Lifecycle</w:t>
      </w:r>
    </w:p>
    <w:p>
      <w:pPr>
        <w:keepNext/>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slide-05.png"/>
                    <pic:cNvPicPr/>
                  </pic:nvPicPr>
                  <pic:blipFill>
                    <a:blip r:embed="rId13"/>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2. Governed engineering lifecycle.</w:t>
      </w:r>
    </w:p>
    <w:p>
      <w:pPr>
        <w:pStyle w:val="Heading2"/>
      </w:pPr>
      <w:r>
        <w:t>Human Approval Boundaries</w:t>
      </w:r>
    </w:p>
    <w:p>
      <w:pPr>
        <w:widowControl/>
      </w:pPr>
      <w:r>
        <w:rPr>
          <w:rFonts w:ascii="Calibri" w:hAnsi="Calibri"/>
          <w:color w:val="16181D"/>
          <w:sz w:val="22"/>
        </w:rPr>
        <w:t>Human approval is mandatory before:</w:t>
      </w:r>
    </w:p>
    <w:p>
      <w:pPr>
        <w:pStyle w:val="ListBullet"/>
        <w:spacing w:after="80"/>
      </w:pPr>
      <w:r>
        <w:rPr>
          <w:rFonts w:ascii="Calibri" w:hAnsi="Calibri"/>
          <w:color w:val="16181D"/>
          <w:sz w:val="21"/>
        </w:rPr>
        <w:t>a Planning Proposal becomes an approved engineering artifact;</w:t>
      </w:r>
    </w:p>
    <w:p>
      <w:pPr>
        <w:pStyle w:val="ListBullet"/>
        <w:spacing w:after="80"/>
      </w:pPr>
      <w:r>
        <w:rPr>
          <w:rFonts w:ascii="Calibri" w:hAnsi="Calibri"/>
          <w:color w:val="16181D"/>
          <w:sz w:val="21"/>
        </w:rPr>
        <w:t>Azure DevOps work items or fields are created or updated;</w:t>
      </w:r>
    </w:p>
    <w:p>
      <w:pPr>
        <w:pStyle w:val="ListBullet"/>
        <w:spacing w:after="80"/>
      </w:pPr>
      <w:r>
        <w:rPr>
          <w:rFonts w:ascii="Calibri" w:hAnsi="Calibri"/>
          <w:color w:val="16181D"/>
          <w:sz w:val="21"/>
        </w:rPr>
        <w:t>an AI suggestion becomes official requirement scope;</w:t>
      </w:r>
    </w:p>
    <w:p>
      <w:pPr>
        <w:pStyle w:val="ListBullet"/>
        <w:spacing w:after="80"/>
      </w:pPr>
      <w:r>
        <w:rPr>
          <w:rFonts w:ascii="Calibri" w:hAnsi="Calibri"/>
          <w:color w:val="16181D"/>
          <w:sz w:val="21"/>
        </w:rPr>
        <w:t>a PR intelligence comment is posted unless an explicit policy permits it;</w:t>
      </w:r>
    </w:p>
    <w:p>
      <w:pPr>
        <w:pStyle w:val="ListBullet"/>
        <w:spacing w:after="80"/>
      </w:pPr>
      <w:r>
        <w:rPr>
          <w:rFonts w:ascii="Calibri" w:hAnsi="Calibri"/>
          <w:color w:val="16181D"/>
          <w:sz w:val="21"/>
        </w:rPr>
        <w:t>a Memory Candidate becomes available Engineering Memory; and</w:t>
      </w:r>
    </w:p>
    <w:p>
      <w:pPr>
        <w:pStyle w:val="ListBullet"/>
        <w:spacing w:after="80"/>
      </w:pPr>
      <w:r>
        <w:rPr>
          <w:rFonts w:ascii="Calibri" w:hAnsi="Calibri"/>
          <w:color w:val="16181D"/>
          <w:sz w:val="21"/>
        </w:rPr>
        <w:t>a release recommendation is treated as an approved release decision.</w:t>
      </w:r>
    </w:p>
    <w:p>
      <w:pPr>
        <w:widowControl/>
      </w:pPr>
      <w:r>
        <w:rPr>
          <w:rFonts w:ascii="Calibri" w:hAnsi="Calibri"/>
          <w:color w:val="16181D"/>
          <w:sz w:val="22"/>
        </w:rPr>
        <w:t>Agents may prepare these actions, but they cannot approve them.</w:t>
      </w:r>
    </w:p>
    <w:p>
      <w:pPr>
        <w:pStyle w:val="Heading1"/>
      </w:pPr>
      <w:r>
        <w:t>Canonical Artifact Lineage</w:t>
      </w:r>
    </w:p>
    <w:p>
      <w:pPr>
        <w:keepNext/>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slide-06.png"/>
                    <pic:cNvPicPr/>
                  </pic:nvPicPr>
                  <pic:blipFill>
                    <a:blip r:embed="rId14"/>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3. Canonical context-first artifact lineage.</w:t>
      </w:r>
    </w:p>
    <w:p>
      <w:pPr>
        <w:widowControl/>
      </w:pPr>
      <w:r>
        <w:rPr>
          <w:rFonts w:ascii="Calibri" w:hAnsi="Calibri"/>
          <w:color w:val="16181D"/>
          <w:sz w:val="22"/>
        </w:rPr>
        <w:t>Each artifact records the relevant requirement, planning, DNA, repository snapshot, knowledge, memory, model, prompt, and correlation versions. A downstream consumer must not reconstruct broad context independently.</w:t>
      </w:r>
    </w:p>
    <w:p>
      <w:r>
        <w:br w:type="page"/>
      </w:r>
    </w:p>
    <w:p>
      <w:pPr>
        <w:pStyle w:val="Heading1"/>
      </w:pPr>
      <w:r>
        <w:t>Context and Evidence Architecture</w:t>
      </w:r>
    </w:p>
    <w:p>
      <w:pPr>
        <w:keepNext/>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slide-07.png"/>
                    <pic:cNvPicPr/>
                  </pic:nvPicPr>
                  <pic:blipFill>
                    <a:blip r:embed="rId15"/>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4. Evidence authority and Context Capsule construction.</w:t>
      </w:r>
    </w:p>
    <w:p>
      <w:pPr>
        <w:pStyle w:val="Heading2"/>
      </w:pPr>
      <w:r>
        <w:t>Evidence Authority</w:t>
      </w:r>
    </w:p>
    <w:p>
      <w:pPr>
        <w:pStyle w:val="ListBullet"/>
        <w:spacing w:after="80"/>
      </w:pPr>
      <w:r>
        <w:rPr>
          <w:rFonts w:ascii="Calibri" w:hAnsi="Calibri"/>
          <w:color w:val="16181D"/>
          <w:sz w:val="21"/>
        </w:rPr>
        <w:t>Repository Intelligence is authoritative for current files, modules,</w:t>
      </w:r>
    </w:p>
    <w:p>
      <w:pPr>
        <w:widowControl/>
      </w:pPr>
      <w:r>
        <w:rPr>
          <w:rFonts w:ascii="Calibri" w:hAnsi="Calibri"/>
          <w:color w:val="16181D"/>
          <w:sz w:val="22"/>
        </w:rPr>
        <w:t>symbols, services, APIs, tests, and graph relationships.</w:t>
      </w:r>
    </w:p>
    <w:p>
      <w:pPr>
        <w:pStyle w:val="ListBullet"/>
        <w:spacing w:after="80"/>
      </w:pPr>
      <w:r>
        <w:rPr>
          <w:rFonts w:ascii="Calibri" w:hAnsi="Calibri"/>
          <w:color w:val="16181D"/>
          <w:sz w:val="21"/>
        </w:rPr>
        <w:t>Repository Markdown is authoritative only for the selected document content</w:t>
      </w:r>
    </w:p>
    <w:p>
      <w:pPr>
        <w:widowControl/>
      </w:pPr>
      <w:r>
        <w:rPr>
          <w:rFonts w:ascii="Calibri" w:hAnsi="Calibri"/>
          <w:color w:val="16181D"/>
          <w:sz w:val="22"/>
        </w:rPr>
        <w:t>and its repository revision.</w:t>
      </w:r>
    </w:p>
    <w:p>
      <w:pPr>
        <w:pStyle w:val="ListBullet"/>
        <w:spacing w:after="80"/>
      </w:pPr>
      <w:r>
        <w:rPr>
          <w:rFonts w:ascii="Calibri" w:hAnsi="Calibri"/>
          <w:color w:val="16181D"/>
          <w:sz w:val="21"/>
        </w:rPr>
        <w:t>Azure DevOps remains authoritative for work-item, sprint, PR, and build</w:t>
      </w:r>
    </w:p>
    <w:p>
      <w:pPr>
        <w:widowControl/>
      </w:pPr>
      <w:r>
        <w:rPr>
          <w:rFonts w:ascii="Calibri" w:hAnsi="Calibri"/>
          <w:color w:val="16181D"/>
          <w:sz w:val="22"/>
        </w:rPr>
        <w:t>state.</w:t>
      </w:r>
    </w:p>
    <w:p>
      <w:pPr>
        <w:pStyle w:val="ListBullet"/>
        <w:spacing w:after="80"/>
      </w:pPr>
      <w:r>
        <w:rPr>
          <w:rFonts w:ascii="Calibri" w:hAnsi="Calibri"/>
          <w:color w:val="16181D"/>
          <w:sz w:val="21"/>
        </w:rPr>
        <w:t>Knowledge Registry supplies approved project standards and bounded domain</w:t>
      </w:r>
    </w:p>
    <w:p>
      <w:pPr>
        <w:widowControl/>
      </w:pPr>
      <w:r>
        <w:rPr>
          <w:rFonts w:ascii="Calibri" w:hAnsi="Calibri"/>
          <w:color w:val="16181D"/>
          <w:sz w:val="22"/>
        </w:rPr>
        <w:t>knowledge.</w:t>
      </w:r>
    </w:p>
    <w:p>
      <w:pPr>
        <w:pStyle w:val="ListBullet"/>
        <w:spacing w:after="80"/>
      </w:pPr>
      <w:r>
        <w:rPr>
          <w:rFonts w:ascii="Calibri" w:hAnsi="Calibri"/>
          <w:color w:val="16181D"/>
          <w:sz w:val="21"/>
        </w:rPr>
        <w:t>Engineering Memory supplies approved historical evidence and never overrides</w:t>
      </w:r>
    </w:p>
    <w:p>
      <w:pPr>
        <w:widowControl/>
      </w:pPr>
      <w:r>
        <w:rPr>
          <w:rFonts w:ascii="Calibri" w:hAnsi="Calibri"/>
          <w:color w:val="16181D"/>
          <w:sz w:val="22"/>
        </w:rPr>
        <w:t>current repository facts.</w:t>
      </w:r>
    </w:p>
    <w:p>
      <w:pPr>
        <w:pStyle w:val="ListBullet"/>
        <w:spacing w:after="80"/>
      </w:pPr>
      <w:r>
        <w:rPr>
          <w:rFonts w:ascii="Calibri" w:hAnsi="Calibri"/>
          <w:color w:val="16181D"/>
          <w:sz w:val="21"/>
        </w:rPr>
        <w:t>AI providers reason over selected context; they are not engineering fact</w:t>
      </w:r>
    </w:p>
    <w:p>
      <w:pPr>
        <w:widowControl/>
      </w:pPr>
      <w:r>
        <w:rPr>
          <w:rFonts w:ascii="Calibri" w:hAnsi="Calibri"/>
          <w:color w:val="16181D"/>
          <w:sz w:val="22"/>
        </w:rPr>
        <w:t>sources.</w:t>
      </w:r>
    </w:p>
    <w:p>
      <w:r>
        <w:br w:type="page"/>
      </w:r>
    </w:p>
    <w:p>
      <w:pPr>
        <w:pStyle w:val="Heading1"/>
      </w:pPr>
      <w:r>
        <w:t>Requirement Intelligence and AI Governance</w:t>
      </w:r>
    </w:p>
    <w:p>
      <w:pPr>
        <w:widowControl/>
      </w:pPr>
      <w:r>
        <w:rPr>
          <w:rFonts w:ascii="Calibri" w:hAnsi="Calibri"/>
          <w:color w:val="16181D"/>
          <w:sz w:val="22"/>
        </w:rPr>
        <w:t>Every requirement enters through Requirement Ingestion. Planning does not receive raw text directly.</w:t>
      </w:r>
    </w:p>
    <w:p>
      <w:pPr>
        <w:widowControl/>
      </w:pPr>
      <w:r>
        <w:rPr>
          <w:rFonts w:ascii="Calibri" w:hAnsi="Calibri"/>
          <w:color w:val="16181D"/>
          <w:sz w:val="22"/>
        </w:rPr>
        <w:t>Requirement Analysis separates each generated statement into:</w:t>
      </w:r>
    </w:p>
    <w:p>
      <w:pPr>
        <w:pStyle w:val="ListBullet"/>
        <w:spacing w:after="80"/>
      </w:pPr>
      <w:r>
        <w:rPr>
          <w:rFonts w:ascii="Calibri" w:hAnsi="Calibri"/>
          <w:color w:val="16181D"/>
          <w:sz w:val="21"/>
        </w:rPr>
        <w:t>SOURCE;</w:t>
      </w:r>
    </w:p>
    <w:p>
      <w:pPr>
        <w:pStyle w:val="ListBullet"/>
        <w:spacing w:after="80"/>
      </w:pPr>
      <w:r>
        <w:rPr>
          <w:rFonts w:ascii="Calibri" w:hAnsi="Calibri"/>
          <w:color w:val="16181D"/>
          <w:sz w:val="21"/>
        </w:rPr>
        <w:t>EVIDENCE;</w:t>
      </w:r>
    </w:p>
    <w:p>
      <w:pPr>
        <w:pStyle w:val="ListBullet"/>
        <w:spacing w:after="80"/>
      </w:pPr>
      <w:r>
        <w:rPr>
          <w:rFonts w:ascii="Calibri" w:hAnsi="Calibri"/>
          <w:color w:val="16181D"/>
          <w:sz w:val="21"/>
        </w:rPr>
        <w:t>AI_INFERRED;</w:t>
      </w:r>
    </w:p>
    <w:p>
      <w:pPr>
        <w:pStyle w:val="ListBullet"/>
        <w:spacing w:after="80"/>
      </w:pPr>
      <w:r>
        <w:rPr>
          <w:rFonts w:ascii="Calibri" w:hAnsi="Calibri"/>
          <w:color w:val="16181D"/>
          <w:sz w:val="21"/>
        </w:rPr>
        <w:t>AI_SUGGESTION; or</w:t>
      </w:r>
    </w:p>
    <w:p>
      <w:pPr>
        <w:pStyle w:val="ListBullet"/>
        <w:spacing w:after="80"/>
      </w:pPr>
      <w:r>
        <w:rPr>
          <w:rFonts w:ascii="Calibri" w:hAnsi="Calibri"/>
          <w:color w:val="16181D"/>
          <w:sz w:val="21"/>
        </w:rPr>
        <w:t>UNKNOWN.</w:t>
      </w:r>
    </w:p>
    <w:p>
      <w:pPr>
        <w:widowControl/>
      </w:pPr>
      <w:r>
        <w:rPr>
          <w:rFonts w:ascii="Calibri" w:hAnsi="Calibri"/>
          <w:color w:val="16181D"/>
          <w:sz w:val="22"/>
        </w:rPr>
        <w:t>Unsupported model additions such as rollback, retry, authentication, audit, notifications, role management, or CRUD behavior are retained as suggestions unless the source or verified engineering evidence supports them. Acceptance Criteria generation consumes governed scope only.</w:t>
      </w:r>
    </w:p>
    <w:p>
      <w:pPr>
        <w:widowControl/>
      </w:pPr>
      <w:r>
        <w:rPr>
          <w:rFonts w:ascii="Calibri" w:hAnsi="Calibri"/>
          <w:color w:val="16181D"/>
          <w:sz w:val="22"/>
        </w:rPr>
        <w:t>See AI Reasoning Governance (./01-Architecture/AI%20Reasoning%20Governance.md).</w:t>
      </w:r>
    </w:p>
    <w:p>
      <w:pPr>
        <w:pStyle w:val="Heading1"/>
      </w:pPr>
      <w:r>
        <w:t>Planning Architecture</w:t>
      </w:r>
    </w:p>
    <w:p>
      <w:pPr>
        <w:widowControl/>
      </w:pPr>
      <w:r>
        <w:rPr>
          <w:rFonts w:ascii="Calibri" w:hAnsi="Calibri"/>
          <w:color w:val="16181D"/>
          <w:sz w:val="22"/>
        </w:rPr>
        <w:t>Planning is a reviewable sequence rather than a single generation request:</w:t>
      </w:r>
    </w:p>
    <w:p>
      <w:pPr>
        <w:spacing w:after="80"/>
        <w:numPr>
          <w:ilvl w:val="0"/>
          <w:numId w:val="15"/>
        </w:numPr>
      </w:pPr>
      <w:r>
        <w:rPr>
          <w:rFonts w:ascii="Calibri" w:hAnsi="Calibri"/>
          <w:color w:val="16181D"/>
          <w:sz w:val="21"/>
        </w:rPr>
        <w:t>Requirement Summary approval.</w:t>
      </w:r>
    </w:p>
    <w:p>
      <w:pPr>
        <w:spacing w:after="80"/>
        <w:numPr>
          <w:ilvl w:val="0"/>
          <w:numId w:val="16"/>
        </w:numPr>
      </w:pPr>
      <w:r>
        <w:rPr>
          <w:rFonts w:ascii="Calibri" w:hAnsi="Calibri"/>
          <w:color w:val="16181D"/>
          <w:sz w:val="21"/>
        </w:rPr>
        <w:t>Planning Context construction.</w:t>
      </w:r>
    </w:p>
    <w:p>
      <w:pPr>
        <w:spacing w:after="80"/>
        <w:numPr>
          <w:ilvl w:val="0"/>
          <w:numId w:val="17"/>
        </w:numPr>
      </w:pPr>
      <w:r>
        <w:rPr>
          <w:rFonts w:ascii="Calibri" w:hAnsi="Calibri"/>
          <w:color w:val="16181D"/>
          <w:sz w:val="21"/>
        </w:rPr>
        <w:t>Similar-work and repository-reuse analysis.</w:t>
      </w:r>
    </w:p>
    <w:p>
      <w:pPr>
        <w:spacing w:after="80"/>
        <w:numPr>
          <w:ilvl w:val="0"/>
          <w:numId w:val="18"/>
        </w:numPr>
      </w:pPr>
      <w:r>
        <w:rPr>
          <w:rFonts w:ascii="Calibri" w:hAnsi="Calibri"/>
          <w:color w:val="16181D"/>
          <w:sz w:val="21"/>
        </w:rPr>
        <w:t>Planning classification and impact analysis.</w:t>
      </w:r>
    </w:p>
    <w:p>
      <w:pPr>
        <w:spacing w:after="80"/>
        <w:numPr>
          <w:ilvl w:val="0"/>
          <w:numId w:val="19"/>
        </w:numPr>
      </w:pPr>
      <w:r>
        <w:rPr>
          <w:rFonts w:ascii="Calibri" w:hAnsi="Calibri"/>
          <w:color w:val="16181D"/>
          <w:sz w:val="21"/>
        </w:rPr>
        <w:t>Primary recommendation and alternatives.</w:t>
      </w:r>
    </w:p>
    <w:p>
      <w:pPr>
        <w:spacing w:after="80"/>
        <w:numPr>
          <w:ilvl w:val="0"/>
          <w:numId w:val="20"/>
        </w:numPr>
      </w:pPr>
      <w:r>
        <w:rPr>
          <w:rFonts w:ascii="Calibri" w:hAnsi="Calibri"/>
          <w:color w:val="16181D"/>
          <w:sz w:val="21"/>
        </w:rPr>
        <w:t>Editable Planning Proposal with Epic, Features, Stories, Tasks, Acceptance</w:t>
      </w:r>
    </w:p>
    <w:p>
      <w:pPr>
        <w:widowControl/>
      </w:pPr>
      <w:r>
        <w:rPr>
          <w:rFonts w:ascii="Calibri" w:hAnsi="Calibri"/>
          <w:color w:val="16181D"/>
          <w:sz w:val="22"/>
        </w:rPr>
        <w:t>Criteria, estimates, dependencies, risks, and repository mappings.</w:t>
      </w:r>
    </w:p>
    <w:p>
      <w:pPr>
        <w:spacing w:after="80"/>
        <w:numPr>
          <w:ilvl w:val="0"/>
          <w:numId w:val="21"/>
        </w:numPr>
      </w:pPr>
      <w:r>
        <w:rPr>
          <w:rFonts w:ascii="Calibri" w:hAnsi="Calibri"/>
          <w:color w:val="16181D"/>
          <w:sz w:val="21"/>
        </w:rPr>
        <w:t>Planning Diff against synchronized Azure DevOps artifacts.</w:t>
      </w:r>
    </w:p>
    <w:p>
      <w:pPr>
        <w:spacing w:after="80"/>
        <w:numPr>
          <w:ilvl w:val="0"/>
          <w:numId w:val="22"/>
        </w:numPr>
      </w:pPr>
      <w:r>
        <w:rPr>
          <w:rFonts w:ascii="Calibri" w:hAnsi="Calibri"/>
          <w:color w:val="16181D"/>
          <w:sz w:val="21"/>
        </w:rPr>
        <w:t>Multi-section engineering review and approval.</w:t>
      </w:r>
    </w:p>
    <w:p>
      <w:pPr>
        <w:spacing w:after="80"/>
        <w:numPr>
          <w:ilvl w:val="0"/>
          <w:numId w:val="23"/>
        </w:numPr>
      </w:pPr>
      <w:r>
        <w:rPr>
          <w:rFonts w:ascii="Calibri" w:hAnsi="Calibri"/>
          <w:color w:val="16181D"/>
          <w:sz w:val="21"/>
        </w:rPr>
        <w:t>Azure DevOps dry-run and approved synchronization.</w:t>
      </w:r>
    </w:p>
    <w:p>
      <w:pPr>
        <w:widowControl/>
      </w:pPr>
      <w:r>
        <w:rPr>
          <w:rFonts w:ascii="Calibri" w:hAnsi="Calibri"/>
          <w:color w:val="16181D"/>
          <w:sz w:val="22"/>
        </w:rPr>
        <w:t>The Planning Proposal is versioned. Editing an approved proposal creates a new version and invalidates previous approvals.</w:t>
      </w:r>
    </w:p>
    <w:p>
      <w:r>
        <w:br w:type="page"/>
      </w:r>
    </w:p>
    <w:p>
      <w:pPr>
        <w:pStyle w:val="Heading1"/>
      </w:pPr>
      <w:r>
        <w:t>Repository Intelligence Architecture</w:t>
      </w:r>
    </w:p>
    <w:p>
      <w:pPr>
        <w:keepNext/>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slide-09.png"/>
                    <pic:cNvPicPr/>
                  </pic:nvPicPr>
                  <pic:blipFill>
                    <a:blip r:embed="rId16"/>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5. Repository synchronization, snapshots, graph, ranking, and capsule flow.</w:t>
      </w:r>
    </w:p>
    <w:p>
      <w:pPr>
        <w:widowControl/>
      </w:pPr>
      <w:r>
        <w:rPr>
          <w:rFonts w:ascii="Calibri" w:hAnsi="Calibri"/>
          <w:color w:val="16181D"/>
          <w:sz w:val="22"/>
        </w:rPr>
        <w:t>Repository Intelligence uses an in-memory and JSON-persisted graph and snapshot model. It does not require Neo4j, Cosmos Gremlin, Memgraph, or another external graph database.</w:t>
      </w:r>
    </w:p>
    <w:p>
      <w:pPr>
        <w:widowControl/>
      </w:pPr>
      <w:r>
        <w:rPr>
          <w:rFonts w:ascii="Calibri" w:hAnsi="Calibri"/>
          <w:color w:val="16181D"/>
          <w:sz w:val="22"/>
        </w:rPr>
        <w:t>Every completed synchronization creates a versioned snapshot. Incremental synchronization applies added, modified, deleted, and renamed metadata changes without rescanning the full repository. Context Capsules and Execution Packages record the snapshot version they consumed.</w:t>
      </w:r>
    </w:p>
    <w:p>
      <w:r>
        <w:br w:type="page"/>
      </w:r>
    </w:p>
    <w:p>
      <w:pPr>
        <w:pStyle w:val="Heading1"/>
      </w:pPr>
      <w:r>
        <w:t>Execution and Prompt Architecture</w:t>
      </w:r>
    </w:p>
    <w:p>
      <w:pPr>
        <w:keepNext/>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slide-10.png"/>
                    <pic:cNvPicPr/>
                  </pic:nvPicPr>
                  <pic:blipFill>
                    <a:blip r:embed="rId17"/>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6. Separation of structured execution artifacts from provider prompts.</w:t>
      </w:r>
    </w:p>
    <w:p>
      <w:pPr>
        <w:widowControl/>
      </w:pPr>
      <w:r>
        <w:rPr>
          <w:rFonts w:ascii="Calibri" w:hAnsi="Calibri"/>
          <w:color w:val="16181D"/>
          <w:sz w:val="22"/>
        </w:rPr>
        <w:t>Execution is deterministic before it becomes model-specific:</w:t>
      </w:r>
    </w:p>
    <w:p>
      <w:pPr>
        <w:pStyle w:val="ListBullet"/>
        <w:spacing w:after="80"/>
      </w:pPr>
      <w:r>
        <w:rPr>
          <w:rFonts w:ascii="Calibri" w:hAnsi="Calibri"/>
          <w:color w:val="16181D"/>
          <w:sz w:val="21"/>
        </w:rPr>
        <w:t>The Execution Package is structured engineering context, not a prompt.</w:t>
      </w:r>
    </w:p>
    <w:p>
      <w:pPr>
        <w:pStyle w:val="ListBullet"/>
        <w:spacing w:after="80"/>
      </w:pPr>
      <w:r>
        <w:rPr>
          <w:rFonts w:ascii="Calibri" w:hAnsi="Calibri"/>
          <w:color w:val="16181D"/>
          <w:sz w:val="21"/>
        </w:rPr>
        <w:t>The Implementation Plan explains how the package should be implemented.</w:t>
      </w:r>
    </w:p>
    <w:p>
      <w:pPr>
        <w:pStyle w:val="ListBullet"/>
        <w:spacing w:after="80"/>
      </w:pPr>
      <w:r>
        <w:rPr>
          <w:rFonts w:ascii="Calibri" w:hAnsi="Calibri"/>
          <w:color w:val="16181D"/>
          <w:sz w:val="21"/>
        </w:rPr>
        <w:t>The Execution Manifest is immutable and model-independent.</w:t>
      </w:r>
    </w:p>
    <w:p>
      <w:pPr>
        <w:pStyle w:val="ListBullet"/>
        <w:spacing w:after="80"/>
      </w:pPr>
      <w:r>
        <w:rPr>
          <w:rFonts w:ascii="Calibri" w:hAnsi="Calibri"/>
          <w:color w:val="16181D"/>
          <w:sz w:val="21"/>
        </w:rPr>
        <w:t>Prompt Compiler creates deterministic sections.</w:t>
      </w:r>
    </w:p>
    <w:p>
      <w:pPr>
        <w:pStyle w:val="ListBullet"/>
        <w:spacing w:after="80"/>
      </w:pPr>
      <w:r>
        <w:rPr>
          <w:rFonts w:ascii="Calibri" w:hAnsi="Calibri"/>
          <w:color w:val="16181D"/>
          <w:sz w:val="21"/>
        </w:rPr>
        <w:t>Token Intelligence preserves protected engineering evidence while fitting a</w:t>
      </w:r>
    </w:p>
    <w:p>
      <w:pPr>
        <w:widowControl/>
      </w:pPr>
      <w:r>
        <w:rPr>
          <w:rFonts w:ascii="Calibri" w:hAnsi="Calibri"/>
          <w:color w:val="16181D"/>
          <w:sz w:val="22"/>
        </w:rPr>
        <w:t>provider budget.</w:t>
      </w:r>
    </w:p>
    <w:p>
      <w:pPr>
        <w:pStyle w:val="ListBullet"/>
        <w:spacing w:after="80"/>
      </w:pPr>
      <w:r>
        <w:rPr>
          <w:rFonts w:ascii="Calibri" w:hAnsi="Calibri"/>
          <w:color w:val="16181D"/>
          <w:sz w:val="21"/>
        </w:rPr>
        <w:t>Model Adapters render model-family-specific wording without invoking a</w:t>
      </w:r>
    </w:p>
    <w:p>
      <w:pPr>
        <w:widowControl/>
      </w:pPr>
      <w:r>
        <w:rPr>
          <w:rFonts w:ascii="Calibri" w:hAnsi="Calibri"/>
          <w:color w:val="16181D"/>
          <w:sz w:val="22"/>
        </w:rPr>
        <w:t>provider.</w:t>
      </w:r>
    </w:p>
    <w:p>
      <w:pPr>
        <w:pStyle w:val="ListBullet"/>
        <w:spacing w:after="80"/>
      </w:pPr>
      <w:r>
        <w:rPr>
          <w:rFonts w:ascii="Calibri" w:hAnsi="Calibri"/>
          <w:color w:val="16181D"/>
          <w:sz w:val="21"/>
        </w:rPr>
        <w:t>Provider Router selects a model and records the routing reason.</w:t>
      </w:r>
    </w:p>
    <w:p>
      <w:pPr>
        <w:pStyle w:val="Heading1"/>
      </w:pPr>
      <w:r>
        <w:t>Execution Runtime, Validation, and QA</w:t>
      </w:r>
    </w:p>
    <w:p>
      <w:pPr>
        <w:widowControl/>
      </w:pPr>
      <w:r>
        <w:rPr>
          <w:rFonts w:ascii="Calibri" w:hAnsi="Calibri"/>
          <w:color w:val="16181D"/>
          <w:sz w:val="22"/>
        </w:rPr>
        <w:t>The Execution Runtime records and interprets AI provider outcomes. It does not write to repositories.</w:t>
      </w:r>
    </w:p>
    <w:p>
      <w:pPr>
        <w:widowControl/>
      </w:pPr>
      <w:r>
        <w:rPr>
          <w:rFonts w:ascii="Calibri" w:hAnsi="Calibri"/>
          <w:color w:val="16181D"/>
          <w:sz w:val="22"/>
        </w:rPr>
        <w:t>Its pipeline includes:</w:t>
      </w:r>
    </w:p>
    <w:p>
      <w:pPr>
        <w:pStyle w:val="ListBullet"/>
        <w:spacing w:after="80"/>
      </w:pPr>
      <w:r>
        <w:rPr>
          <w:rFonts w:ascii="Calibri" w:hAnsi="Calibri"/>
          <w:color w:val="16181D"/>
          <w:sz w:val="21"/>
        </w:rPr>
        <w:t>execution session lifecycle;</w:t>
      </w:r>
    </w:p>
    <w:p>
      <w:pPr>
        <w:pStyle w:val="ListBullet"/>
        <w:spacing w:after="80"/>
      </w:pPr>
      <w:r>
        <w:rPr>
          <w:rFonts w:ascii="Calibri" w:hAnsi="Calibri"/>
          <w:color w:val="16181D"/>
          <w:sz w:val="21"/>
        </w:rPr>
        <w:t>raw response registration;</w:t>
      </w:r>
    </w:p>
    <w:p>
      <w:pPr>
        <w:pStyle w:val="ListBullet"/>
        <w:spacing w:after="80"/>
      </w:pPr>
      <w:r>
        <w:rPr>
          <w:rFonts w:ascii="Calibri" w:hAnsi="Calibri"/>
          <w:color w:val="16181D"/>
          <w:sz w:val="21"/>
        </w:rPr>
        <w:t>provider-response normalization;</w:t>
      </w:r>
    </w:p>
    <w:p>
      <w:pPr>
        <w:pStyle w:val="ListBullet"/>
        <w:spacing w:after="80"/>
      </w:pPr>
      <w:r>
        <w:rPr>
          <w:rFonts w:ascii="Calibri" w:hAnsi="Calibri"/>
          <w:color w:val="16181D"/>
          <w:sz w:val="21"/>
        </w:rPr>
        <w:t>engineering artifact extraction;</w:t>
      </w:r>
    </w:p>
    <w:p>
      <w:pPr>
        <w:pStyle w:val="ListBullet"/>
        <w:spacing w:after="80"/>
      </w:pPr>
      <w:r>
        <w:rPr>
          <w:rFonts w:ascii="Calibri" w:hAnsi="Calibri"/>
          <w:color w:val="16181D"/>
          <w:sz w:val="21"/>
        </w:rPr>
        <w:t>semantic Engineering Diff;</w:t>
      </w:r>
    </w:p>
    <w:p>
      <w:pPr>
        <w:pStyle w:val="ListBullet"/>
        <w:spacing w:after="80"/>
      </w:pPr>
      <w:r>
        <w:rPr>
          <w:rFonts w:ascii="Calibri" w:hAnsi="Calibri"/>
          <w:color w:val="16181D"/>
          <w:sz w:val="21"/>
        </w:rPr>
        <w:t>validation trigger decision;</w:t>
      </w:r>
    </w:p>
    <w:p>
      <w:pPr>
        <w:pStyle w:val="ListBullet"/>
        <w:spacing w:after="80"/>
      </w:pPr>
      <w:r>
        <w:rPr>
          <w:rFonts w:ascii="Calibri" w:hAnsi="Calibri"/>
          <w:color w:val="16181D"/>
          <w:sz w:val="21"/>
        </w:rPr>
        <w:t>QA trigger plan;</w:t>
      </w:r>
    </w:p>
    <w:p>
      <w:pPr>
        <w:pStyle w:val="ListBullet"/>
        <w:spacing w:after="80"/>
      </w:pPr>
      <w:r>
        <w:rPr>
          <w:rFonts w:ascii="Calibri" w:hAnsi="Calibri"/>
          <w:color w:val="16181D"/>
          <w:sz w:val="21"/>
        </w:rPr>
        <w:t>Memory Candidate generation;</w:t>
      </w:r>
    </w:p>
    <w:p>
      <w:pPr>
        <w:pStyle w:val="ListBullet"/>
        <w:spacing w:after="80"/>
      </w:pPr>
      <w:r>
        <w:rPr>
          <w:rFonts w:ascii="Calibri" w:hAnsi="Calibri"/>
          <w:color w:val="16181D"/>
          <w:sz w:val="21"/>
        </w:rPr>
        <w:t>PR Candidate generation;</w:t>
      </w:r>
    </w:p>
    <w:p>
      <w:pPr>
        <w:pStyle w:val="ListBullet"/>
        <w:spacing w:after="80"/>
      </w:pPr>
      <w:r>
        <w:rPr>
          <w:rFonts w:ascii="Calibri" w:hAnsi="Calibri"/>
          <w:color w:val="16181D"/>
          <w:sz w:val="21"/>
        </w:rPr>
        <w:t>retries, resume, cancellation, timeout, and idempotency; and</w:t>
      </w:r>
    </w:p>
    <w:p>
      <w:pPr>
        <w:pStyle w:val="ListBullet"/>
        <w:spacing w:after="80"/>
      </w:pPr>
      <w:r>
        <w:rPr>
          <w:rFonts w:ascii="Calibri" w:hAnsi="Calibri"/>
          <w:color w:val="16181D"/>
          <w:sz w:val="21"/>
        </w:rPr>
        <w:t>correlation traces and diagnostics.</w:t>
      </w:r>
    </w:p>
    <w:p>
      <w:pPr>
        <w:widowControl/>
      </w:pPr>
      <w:r>
        <w:rPr>
          <w:rFonts w:ascii="Calibri" w:hAnsi="Calibri"/>
          <w:color w:val="16181D"/>
          <w:sz w:val="22"/>
        </w:rPr>
        <w:t>Implementation Validation checks planned versus actual changes. QA Intelligence answers whether the implementation is ready for release rather than merely generating test cases.</w:t>
      </w:r>
    </w:p>
    <w:p>
      <w:r>
        <w:br w:type="page"/>
      </w:r>
    </w:p>
    <w:p>
      <w:pPr>
        <w:pStyle w:val="Heading1"/>
      </w:pPr>
      <w:r>
        <w:t>Azure DevOps Integration</w:t>
      </w:r>
    </w:p>
    <w:p>
      <w:pPr>
        <w:keepNext/>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slide-12.png"/>
                    <pic:cNvPicPr/>
                  </pic:nvPicPr>
                  <pic:blipFill>
                    <a:blip r:embed="rId18"/>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7. Azure DevOps integration and approved write path.</w:t>
      </w:r>
    </w:p>
    <w:p>
      <w:pPr>
        <w:widowControl/>
      </w:pPr>
      <w:r>
        <w:rPr>
          <w:rFonts w:ascii="Calibri" w:hAnsi="Calibri"/>
          <w:color w:val="16181D"/>
          <w:sz w:val="22"/>
        </w:rPr>
        <w:t>Azure DevOps remains the system of record.</w:t>
      </w:r>
    </w:p>
    <w:p>
      <w:pPr>
        <w:widowControl/>
      </w:pPr>
      <w:r>
        <w:rPr>
          <w:rFonts w:ascii="Calibri" w:hAnsi="Calibri"/>
          <w:color w:val="16181D"/>
          <w:sz w:val="22"/>
        </w:rPr>
        <w:t>Read and write permissions are separated. Writes require preview, approval, permission, source-revision validation, idempotency, and audit. Arbitrary patch routes are not part of the approved automation contract.</w:t>
      </w:r>
    </w:p>
    <w:p>
      <w:pPr>
        <w:pStyle w:val="Heading1"/>
      </w:pPr>
      <w:r>
        <w:t>Deployment Topology</w:t>
      </w:r>
    </w:p>
    <w:p>
      <w:pPr>
        <w:pStyle w:val="Heading2"/>
      </w:pPr>
      <w:r>
        <w:t>Current Technology Stack</w:t>
      </w:r>
    </w:p>
    <w:p>
      <w:pPr>
        <w:pStyle w:val="ListBullet"/>
        <w:spacing w:after="80"/>
      </w:pPr>
      <w:r>
        <w:rPr>
          <w:rFonts w:ascii="Calibri" w:hAnsi="Calibri"/>
          <w:color w:val="16181D"/>
          <w:sz w:val="21"/>
        </w:rPr>
        <w:t>Python and FastAPI backend;</w:t>
      </w:r>
    </w:p>
    <w:p>
      <w:pPr>
        <w:pStyle w:val="ListBullet"/>
        <w:spacing w:after="80"/>
      </w:pPr>
      <w:r>
        <w:rPr>
          <w:rFonts w:ascii="Calibri" w:hAnsi="Calibri"/>
          <w:color w:val="16181D"/>
          <w:sz w:val="21"/>
        </w:rPr>
        <w:t>Pydantic-compatible API contracts;</w:t>
      </w:r>
    </w:p>
    <w:p>
      <w:pPr>
        <w:pStyle w:val="ListBullet"/>
        <w:spacing w:after="80"/>
      </w:pPr>
      <w:r>
        <w:rPr>
          <w:rFonts w:ascii="Calibri" w:hAnsi="Calibri"/>
          <w:color w:val="16181D"/>
          <w:sz w:val="21"/>
        </w:rPr>
        <w:t>JSON document stores behind repository abstractions;</w:t>
      </w:r>
    </w:p>
    <w:p>
      <w:pPr>
        <w:pStyle w:val="ListBullet"/>
        <w:spacing w:after="80"/>
      </w:pPr>
      <w:r>
        <w:rPr>
          <w:rFonts w:ascii="Calibri" w:hAnsi="Calibri"/>
          <w:color w:val="16181D"/>
          <w:sz w:val="21"/>
        </w:rPr>
        <w:t>React 18 and TypeScript Azure DevOps extension;</w:t>
      </w:r>
    </w:p>
    <w:p>
      <w:pPr>
        <w:pStyle w:val="ListBullet"/>
        <w:spacing w:after="80"/>
      </w:pPr>
      <w:r>
        <w:rPr>
          <w:rFonts w:ascii="Calibri" w:hAnsi="Calibri"/>
          <w:color w:val="16181D"/>
          <w:sz w:val="21"/>
        </w:rPr>
        <w:t>TypeScript VS Code extension;</w:t>
      </w:r>
    </w:p>
    <w:p>
      <w:pPr>
        <w:pStyle w:val="ListBullet"/>
        <w:spacing w:after="80"/>
      </w:pPr>
      <w:r>
        <w:rPr>
          <w:rFonts w:ascii="Calibri" w:hAnsi="Calibri"/>
          <w:color w:val="16181D"/>
          <w:sz w:val="21"/>
        </w:rPr>
        <w:t>Webpack extension build;</w:t>
      </w:r>
    </w:p>
    <w:p>
      <w:pPr>
        <w:pStyle w:val="ListBullet"/>
        <w:spacing w:after="80"/>
      </w:pPr>
      <w:r>
        <w:rPr>
          <w:rFonts w:ascii="Calibri" w:hAnsi="Calibri"/>
          <w:color w:val="16181D"/>
          <w:sz w:val="21"/>
        </w:rPr>
        <w:t>Azure DevOps Extension SDK and API;</w:t>
      </w:r>
    </w:p>
    <w:p>
      <w:pPr>
        <w:pStyle w:val="ListBullet"/>
        <w:spacing w:after="80"/>
      </w:pPr>
      <w:r>
        <w:rPr>
          <w:rFonts w:ascii="Calibri" w:hAnsi="Calibri"/>
          <w:color w:val="16181D"/>
          <w:sz w:val="21"/>
        </w:rPr>
        <w:t>optional Azure AI Foundry Phi and pluggable reasoning providers; and</w:t>
      </w:r>
    </w:p>
    <w:p>
      <w:pPr>
        <w:pStyle w:val="ListBullet"/>
        <w:spacing w:after="80"/>
      </w:pPr>
      <w:r>
        <w:rPr>
          <w:rFonts w:ascii="Calibri" w:hAnsi="Calibri"/>
          <w:color w:val="16181D"/>
          <w:sz w:val="21"/>
        </w:rPr>
        <w:t>Railway-compatible Uvicorn deployment.</w:t>
      </w:r>
    </w:p>
    <w:p>
      <w:r>
        <w:br w:type="page"/>
      </w:r>
    </w:p>
    <w:p>
      <w:pPr>
        <w:pStyle w:val="Heading1"/>
      </w:pPr>
      <w:r>
        <w:t>Current Implementation Status</w:t>
      </w:r>
    </w:p>
    <w:p>
      <w:pPr>
        <w:widowControl/>
      </w:pPr>
      <w:r>
        <w:rPr>
          <w:rFonts w:ascii="Calibri" w:hAnsi="Calibri"/>
          <w:color w:val="16181D"/>
          <w:sz w:val="22"/>
        </w:rPr>
        <w:t>The following status terms are used:</w:t>
      </w:r>
    </w:p>
    <w:p>
      <w:pPr>
        <w:pStyle w:val="ListBullet"/>
        <w:spacing w:after="80"/>
      </w:pPr>
      <w:r>
        <w:rPr>
          <w:rFonts w:ascii="Calibri" w:hAnsi="Calibri"/>
          <w:color w:val="16181D"/>
          <w:sz w:val="21"/>
        </w:rPr>
        <w:t>Integrated: connected to the active user workflow and shared contracts.</w:t>
      </w:r>
    </w:p>
    <w:p>
      <w:pPr>
        <w:pStyle w:val="ListBullet"/>
        <w:spacing w:after="80"/>
      </w:pPr>
      <w:r>
        <w:rPr>
          <w:rFonts w:ascii="Calibri" w:hAnsi="Calibri"/>
          <w:color w:val="16181D"/>
          <w:sz w:val="21"/>
        </w:rPr>
        <w:t>Implemented: module, APIs, persistence, and regression tests exist, but</w:t>
      </w:r>
    </w:p>
    <w:p>
      <w:pPr>
        <w:widowControl/>
      </w:pPr>
      <w:r>
        <w:rPr>
          <w:rFonts w:ascii="Calibri" w:hAnsi="Calibri"/>
          <w:color w:val="16181D"/>
          <w:sz w:val="22"/>
        </w:rPr>
        <w:t>operational rollout may still require environment configuration.</w:t>
      </w:r>
    </w:p>
    <w:p>
      <w:pPr>
        <w:pStyle w:val="ListBullet"/>
        <w:spacing w:after="80"/>
      </w:pPr>
      <w:r>
        <w:rPr>
          <w:rFonts w:ascii="Calibri" w:hAnsi="Calibri"/>
          <w:color w:val="16181D"/>
          <w:sz w:val="21"/>
        </w:rPr>
        <w:t>Compatibility: retained to support earlier workflows during migration.</w:t>
      </w:r>
    </w:p>
    <w:p>
      <w:pPr>
        <w:pStyle w:val="ListBullet"/>
        <w:spacing w:after="80"/>
      </w:pPr>
      <w:r>
        <w:rPr>
          <w:rFonts w:ascii="Calibri" w:hAnsi="Calibri"/>
          <w:color w:val="16181D"/>
          <w:sz w:val="21"/>
        </w:rPr>
        <w:t>Planned: architecture or placeholder exists but enterprise rollout is</w:t>
      </w:r>
    </w:p>
    <w:p>
      <w:pPr>
        <w:widowControl/>
      </w:pPr>
      <w:r>
        <w:rPr>
          <w:rFonts w:ascii="Calibri" w:hAnsi="Calibri"/>
          <w:color w:val="16181D"/>
          <w:sz w:val="22"/>
        </w:rPr>
        <w:t>future work.</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16181D"/>
          </w:tcPr>
          <w:p>
            <w:r>
              <w:rPr>
                <w:rFonts w:ascii="Calibri" w:hAnsi="Calibri"/>
                <w:b/>
                <w:color w:val="FFFFFF"/>
                <w:sz w:val="19"/>
              </w:rPr>
              <w:t>Area</w:t>
            </w:r>
          </w:p>
        </w:tc>
        <w:tc>
          <w:tcPr>
            <w:tcW w:type="dxa" w:w="3120"/>
            <w:tcMar>
              <w:top w:w="80" w:type="dxa"/>
              <w:start w:w="120" w:type="dxa"/>
              <w:bottom w:w="80" w:type="dxa"/>
              <w:end w:w="120" w:type="dxa"/>
            </w:tcMar>
            <w:vAlign w:val="center"/>
            <w:shd w:fill="16181D"/>
          </w:tcPr>
          <w:p>
            <w:r>
              <w:rPr>
                <w:rFonts w:ascii="Calibri" w:hAnsi="Calibri"/>
                <w:b/>
                <w:color w:val="FFFFFF"/>
                <w:sz w:val="19"/>
              </w:rPr>
              <w:t>Status</w:t>
            </w:r>
          </w:p>
        </w:tc>
        <w:tc>
          <w:tcPr>
            <w:tcW w:type="dxa" w:w="3120"/>
            <w:tcMar>
              <w:top w:w="80" w:type="dxa"/>
              <w:start w:w="120" w:type="dxa"/>
              <w:bottom w:w="80" w:type="dxa"/>
              <w:end w:w="120" w:type="dxa"/>
            </w:tcMar>
            <w:vAlign w:val="center"/>
            <w:shd w:fill="16181D"/>
          </w:tcPr>
          <w:p>
            <w:r>
              <w:rPr>
                <w:rFonts w:ascii="Calibri" w:hAnsi="Calibri"/>
                <w:b/>
                <w:color w:val="FFFFFF"/>
                <w:sz w:val="19"/>
              </w:rPr>
              <w:t>Notes</w:t>
            </w:r>
          </w:p>
        </w:tc>
      </w:tr>
      <w:tr>
        <w:tc>
          <w:tcPr>
            <w:tcW w:type="dxa" w:w="3120"/>
            <w:tcMar>
              <w:top w:w="80" w:type="dxa"/>
              <w:start w:w="120" w:type="dxa"/>
              <w:bottom w:w="80" w:type="dxa"/>
              <w:end w:w="120" w:type="dxa"/>
            </w:tcMar>
            <w:vAlign w:val="center"/>
          </w:tcPr>
          <w:p>
            <w:r>
              <w:rPr>
                <w:rFonts w:ascii="Calibri" w:hAnsi="Calibri"/>
                <w:b w:val="0"/>
                <w:color w:val="16181D"/>
                <w:sz w:val="19"/>
              </w:rPr>
              <w:t>Requirement Intelligence</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Ingestion, refinement, analysis, governance, repository recommendation, Acceptance Criteria, review, and summary are connected.</w:t>
            </w:r>
          </w:p>
        </w:tc>
      </w:tr>
      <w:tr>
        <w:tc>
          <w:tcPr>
            <w:tcW w:type="dxa" w:w="3120"/>
            <w:tcMar>
              <w:top w:w="80" w:type="dxa"/>
              <w:start w:w="120" w:type="dxa"/>
              <w:bottom w:w="80" w:type="dxa"/>
              <w:end w:w="120" w:type="dxa"/>
            </w:tcMar>
            <w:vAlign w:val="center"/>
          </w:tcPr>
          <w:p>
            <w:r>
              <w:rPr>
                <w:rFonts w:ascii="Calibri" w:hAnsi="Calibri"/>
                <w:b w:val="0"/>
                <w:color w:val="16181D"/>
                <w:sz w:val="19"/>
              </w:rPr>
              <w:t>Planning Context, Recommendation, and Proposal</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Reviewable planning flow with versioning, diff, approval, and ADO preview.</w:t>
            </w:r>
          </w:p>
        </w:tc>
      </w:tr>
      <w:tr>
        <w:tc>
          <w:tcPr>
            <w:tcW w:type="dxa" w:w="3120"/>
            <w:tcMar>
              <w:top w:w="80" w:type="dxa"/>
              <w:start w:w="120" w:type="dxa"/>
              <w:bottom w:w="80" w:type="dxa"/>
              <w:end w:w="120" w:type="dxa"/>
            </w:tcMar>
            <w:vAlign w:val="center"/>
          </w:tcPr>
          <w:p>
            <w:r>
              <w:rPr>
                <w:rFonts w:ascii="Calibri" w:hAnsi="Calibri"/>
                <w:b w:val="0"/>
                <w:color w:val="16181D"/>
                <w:sz w:val="19"/>
              </w:rPr>
              <w:t>Repository Intelligence</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Registration, synchronization, snapshots, parsing, graph, ranking, monitoring, and Repository Center are available.</w:t>
            </w:r>
          </w:p>
        </w:tc>
      </w:tr>
      <w:tr>
        <w:tc>
          <w:tcPr>
            <w:tcW w:type="dxa" w:w="3120"/>
            <w:tcMar>
              <w:top w:w="80" w:type="dxa"/>
              <w:start w:w="120" w:type="dxa"/>
              <w:bottom w:w="80" w:type="dxa"/>
              <w:end w:w="120" w:type="dxa"/>
            </w:tcMar>
            <w:vAlign w:val="center"/>
          </w:tcPr>
          <w:p>
            <w:r>
              <w:rPr>
                <w:rFonts w:ascii="Calibri" w:hAnsi="Calibri"/>
                <w:b w:val="0"/>
                <w:color w:val="16181D"/>
                <w:sz w:val="19"/>
              </w:rPr>
              <w:t>Context Capsule and Execution Package</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Versioned context-first execution contracts are enforced in the new flow.</w:t>
            </w:r>
          </w:p>
        </w:tc>
      </w:tr>
      <w:tr>
        <w:tc>
          <w:tcPr>
            <w:tcW w:type="dxa" w:w="3120"/>
            <w:tcMar>
              <w:top w:w="80" w:type="dxa"/>
              <w:start w:w="120" w:type="dxa"/>
              <w:bottom w:w="80" w:type="dxa"/>
              <w:end w:w="120" w:type="dxa"/>
            </w:tcMar>
            <w:vAlign w:val="center"/>
          </w:tcPr>
          <w:p>
            <w:r>
              <w:rPr>
                <w:rFonts w:ascii="Calibri" w:hAnsi="Calibri"/>
                <w:b w:val="0"/>
                <w:color w:val="16181D"/>
                <w:sz w:val="19"/>
              </w:rPr>
              <w:t>Prompt Intelligence</w:t>
            </w:r>
          </w:p>
        </w:tc>
        <w:tc>
          <w:tcPr>
            <w:tcW w:type="dxa" w:w="3120"/>
            <w:tcMar>
              <w:top w:w="80" w:type="dxa"/>
              <w:start w:w="120" w:type="dxa"/>
              <w:bottom w:w="80" w:type="dxa"/>
              <w:end w:w="120" w:type="dxa"/>
            </w:tcMar>
            <w:vAlign w:val="center"/>
          </w:tcPr>
          <w:p>
            <w:r>
              <w:rPr>
                <w:rFonts w:ascii="Calibri" w:hAnsi="Calibri"/>
                <w:b w:val="0"/>
                <w:color w:val="16181D"/>
                <w:sz w:val="19"/>
              </w:rPr>
              <w:t>Implemented</w:t>
            </w:r>
          </w:p>
        </w:tc>
        <w:tc>
          <w:tcPr>
            <w:tcW w:type="dxa" w:w="3120"/>
            <w:tcMar>
              <w:top w:w="80" w:type="dxa"/>
              <w:start w:w="120" w:type="dxa"/>
              <w:bottom w:w="80" w:type="dxa"/>
              <w:end w:w="120" w:type="dxa"/>
            </w:tcMar>
            <w:vAlign w:val="center"/>
          </w:tcPr>
          <w:p>
            <w:r>
              <w:rPr>
                <w:rFonts w:ascii="Calibri" w:hAnsi="Calibri"/>
                <w:b w:val="0"/>
                <w:color w:val="16181D"/>
                <w:sz w:val="19"/>
              </w:rPr>
              <w:t>Manifest, compiler, token budget, model registry/adapters, routing, cache, and diagnostics have APIs and tests.</w:t>
            </w:r>
          </w:p>
        </w:tc>
      </w:tr>
      <w:tr>
        <w:tc>
          <w:tcPr>
            <w:tcW w:type="dxa" w:w="3120"/>
            <w:tcMar>
              <w:top w:w="80" w:type="dxa"/>
              <w:start w:w="120" w:type="dxa"/>
              <w:bottom w:w="80" w:type="dxa"/>
              <w:end w:w="120" w:type="dxa"/>
            </w:tcMar>
            <w:vAlign w:val="center"/>
          </w:tcPr>
          <w:p>
            <w:r>
              <w:rPr>
                <w:rFonts w:ascii="Calibri" w:hAnsi="Calibri"/>
                <w:b w:val="0"/>
                <w:color w:val="16181D"/>
                <w:sz w:val="19"/>
              </w:rPr>
              <w:t>AI Execution Runtime</w:t>
            </w:r>
          </w:p>
        </w:tc>
        <w:tc>
          <w:tcPr>
            <w:tcW w:type="dxa" w:w="3120"/>
            <w:tcMar>
              <w:top w:w="80" w:type="dxa"/>
              <w:start w:w="120" w:type="dxa"/>
              <w:bottom w:w="80" w:type="dxa"/>
              <w:end w:w="120" w:type="dxa"/>
            </w:tcMar>
            <w:vAlign w:val="center"/>
          </w:tcPr>
          <w:p>
            <w:r>
              <w:rPr>
                <w:rFonts w:ascii="Calibri" w:hAnsi="Calibri"/>
                <w:b w:val="0"/>
                <w:color w:val="16181D"/>
                <w:sz w:val="19"/>
              </w:rPr>
              <w:t>Implemented foundation</w:t>
            </w:r>
          </w:p>
        </w:tc>
        <w:tc>
          <w:tcPr>
            <w:tcW w:type="dxa" w:w="3120"/>
            <w:tcMar>
              <w:top w:w="80" w:type="dxa"/>
              <w:start w:w="120" w:type="dxa"/>
              <w:bottom w:w="80" w:type="dxa"/>
              <w:end w:w="120" w:type="dxa"/>
            </w:tcMar>
            <w:vAlign w:val="center"/>
          </w:tcPr>
          <w:p>
            <w:r>
              <w:rPr>
                <w:rFonts w:ascii="Calibri" w:hAnsi="Calibri"/>
                <w:b w:val="0"/>
                <w:color w:val="16181D"/>
                <w:sz w:val="19"/>
              </w:rPr>
              <w:t>Session, interpretation, diff, triggers, candidates, observability, and recovery exist without repository writes.</w:t>
            </w:r>
          </w:p>
        </w:tc>
      </w:tr>
      <w:tr>
        <w:tc>
          <w:tcPr>
            <w:tcW w:type="dxa" w:w="3120"/>
            <w:tcMar>
              <w:top w:w="80" w:type="dxa"/>
              <w:start w:w="120" w:type="dxa"/>
              <w:bottom w:w="80" w:type="dxa"/>
              <w:end w:w="120" w:type="dxa"/>
            </w:tcMar>
            <w:vAlign w:val="center"/>
          </w:tcPr>
          <w:p>
            <w:r>
              <w:rPr>
                <w:rFonts w:ascii="Calibri" w:hAnsi="Calibri"/>
                <w:b w:val="0"/>
                <w:color w:val="16181D"/>
                <w:sz w:val="19"/>
              </w:rPr>
              <w:t>Validation and QA</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Implementation alignment and release-readiness views are available; external test/build evidence depends on connected systems.</w:t>
            </w:r>
          </w:p>
        </w:tc>
      </w:tr>
      <w:tr>
        <w:tc>
          <w:tcPr>
            <w:tcW w:type="dxa" w:w="3120"/>
            <w:tcMar>
              <w:top w:w="80" w:type="dxa"/>
              <w:start w:w="120" w:type="dxa"/>
              <w:bottom w:w="80" w:type="dxa"/>
              <w:end w:w="120" w:type="dxa"/>
            </w:tcMar>
            <w:vAlign w:val="center"/>
          </w:tcPr>
          <w:p>
            <w:r>
              <w:rPr>
                <w:rFonts w:ascii="Calibri" w:hAnsi="Calibri"/>
                <w:b w:val="0"/>
                <w:color w:val="16181D"/>
                <w:sz w:val="19"/>
              </w:rPr>
              <w:t>Engineering Memory</w:t>
            </w:r>
          </w:p>
        </w:tc>
        <w:tc>
          <w:tcPr>
            <w:tcW w:type="dxa" w:w="3120"/>
            <w:tcMar>
              <w:top w:w="80" w:type="dxa"/>
              <w:start w:w="120" w:type="dxa"/>
              <w:bottom w:w="80" w:type="dxa"/>
              <w:end w:w="120" w:type="dxa"/>
            </w:tcMar>
            <w:vAlign w:val="center"/>
          </w:tcPr>
          <w:p>
            <w:r>
              <w:rPr>
                <w:rFonts w:ascii="Calibri" w:hAnsi="Calibri"/>
                <w:b w:val="0"/>
                <w:color w:val="16181D"/>
                <w:sz w:val="19"/>
              </w:rPr>
              <w:t>Implemented</w:t>
            </w:r>
          </w:p>
        </w:tc>
        <w:tc>
          <w:tcPr>
            <w:tcW w:type="dxa" w:w="3120"/>
            <w:tcMar>
              <w:top w:w="80" w:type="dxa"/>
              <w:start w:w="120" w:type="dxa"/>
              <w:bottom w:w="80" w:type="dxa"/>
              <w:end w:w="120" w:type="dxa"/>
            </w:tcMar>
            <w:vAlign w:val="center"/>
          </w:tcPr>
          <w:p>
            <w:r>
              <w:rPr>
                <w:rFonts w:ascii="Calibri" w:hAnsi="Calibri"/>
                <w:b w:val="0"/>
                <w:color w:val="16181D"/>
                <w:sz w:val="19"/>
              </w:rPr>
              <w:t>Only validated and approved candidates may become available memory. Adoption quality depends on approved historical outcomes.</w:t>
            </w:r>
          </w:p>
        </w:tc>
      </w:tr>
      <w:tr>
        <w:tc>
          <w:tcPr>
            <w:tcW w:type="dxa" w:w="3120"/>
            <w:tcMar>
              <w:top w:w="80" w:type="dxa"/>
              <w:start w:w="120" w:type="dxa"/>
              <w:bottom w:w="80" w:type="dxa"/>
              <w:end w:w="120" w:type="dxa"/>
            </w:tcMar>
            <w:vAlign w:val="center"/>
          </w:tcPr>
          <w:p>
            <w:r>
              <w:rPr>
                <w:rFonts w:ascii="Calibri" w:hAnsi="Calibri"/>
                <w:b w:val="0"/>
                <w:color w:val="16181D"/>
                <w:sz w:val="19"/>
              </w:rPr>
              <w:t>Azure DevOps Integration</w:t>
            </w:r>
          </w:p>
        </w:tc>
        <w:tc>
          <w:tcPr>
            <w:tcW w:type="dxa" w:w="3120"/>
            <w:tcMar>
              <w:top w:w="80" w:type="dxa"/>
              <w:start w:w="120" w:type="dxa"/>
              <w:bottom w:w="80" w:type="dxa"/>
              <w:end w:w="120" w:type="dxa"/>
            </w:tcMar>
            <w:vAlign w:val="center"/>
          </w:tcPr>
          <w:p>
            <w:r>
              <w:rPr>
                <w:rFonts w:ascii="Calibri" w:hAnsi="Calibri"/>
                <w:b w:val="0"/>
                <w:color w:val="16181D"/>
                <w:sz w:val="19"/>
              </w:rPr>
              <w:t>Integrated with controls</w:t>
            </w:r>
          </w:p>
        </w:tc>
        <w:tc>
          <w:tcPr>
            <w:tcW w:type="dxa" w:w="3120"/>
            <w:tcMar>
              <w:top w:w="80" w:type="dxa"/>
              <w:start w:w="120" w:type="dxa"/>
              <w:bottom w:w="80" w:type="dxa"/>
              <w:end w:w="120" w:type="dxa"/>
            </w:tcMar>
            <w:vAlign w:val="center"/>
          </w:tcPr>
          <w:p>
            <w:r>
              <w:rPr>
                <w:rFonts w:ascii="Calibri" w:hAnsi="Calibri"/>
                <w:b w:val="0"/>
                <w:color w:val="16181D"/>
                <w:sz w:val="19"/>
              </w:rPr>
              <w:t>Read, synchronization, intelligence, preview, approved commands, PR, sprint, agents, and operational validation exist. Live use requires configured permissions and a safe project.</w:t>
            </w:r>
          </w:p>
        </w:tc>
      </w:tr>
      <w:tr>
        <w:tc>
          <w:tcPr>
            <w:tcW w:type="dxa" w:w="3120"/>
            <w:tcMar>
              <w:top w:w="80" w:type="dxa"/>
              <w:start w:w="120" w:type="dxa"/>
              <w:bottom w:w="80" w:type="dxa"/>
              <w:end w:w="120" w:type="dxa"/>
            </w:tcMar>
            <w:vAlign w:val="center"/>
          </w:tcPr>
          <w:p>
            <w:r>
              <w:rPr>
                <w:rFonts w:ascii="Calibri" w:hAnsi="Calibri"/>
                <w:b w:val="0"/>
                <w:color w:val="16181D"/>
                <w:sz w:val="19"/>
              </w:rPr>
              <w:t>Agent and Skills Frameworks</w:t>
            </w:r>
          </w:p>
        </w:tc>
        <w:tc>
          <w:tcPr>
            <w:tcW w:type="dxa" w:w="3120"/>
            <w:tcMar>
              <w:top w:w="80" w:type="dxa"/>
              <w:start w:w="120" w:type="dxa"/>
              <w:bottom w:w="80" w:type="dxa"/>
              <w:end w:w="120" w:type="dxa"/>
            </w:tcMar>
            <w:vAlign w:val="center"/>
          </w:tcPr>
          <w:p>
            <w:r>
              <w:rPr>
                <w:rFonts w:ascii="Calibri" w:hAnsi="Calibri"/>
                <w:b w:val="0"/>
                <w:color w:val="16181D"/>
                <w:sz w:val="19"/>
              </w:rPr>
              <w:t>Implemented foundation</w:t>
            </w:r>
          </w:p>
        </w:tc>
        <w:tc>
          <w:tcPr>
            <w:tcW w:type="dxa" w:w="3120"/>
            <w:tcMar>
              <w:top w:w="80" w:type="dxa"/>
              <w:start w:w="120" w:type="dxa"/>
              <w:bottom w:w="80" w:type="dxa"/>
              <w:end w:w="120" w:type="dxa"/>
            </w:tcMar>
            <w:vAlign w:val="center"/>
          </w:tcPr>
          <w:p>
            <w:r>
              <w:rPr>
                <w:rFonts w:ascii="Calibri" w:hAnsi="Calibri"/>
                <w:b w:val="0"/>
                <w:color w:val="16181D"/>
                <w:sz w:val="19"/>
              </w:rPr>
              <w:t>Event-driven preparation and policy checkpoints exist; consequential execution remains approval-gated.</w:t>
            </w:r>
          </w:p>
        </w:tc>
      </w:tr>
      <w:tr>
        <w:tc>
          <w:tcPr>
            <w:tcW w:type="dxa" w:w="3120"/>
            <w:tcMar>
              <w:top w:w="80" w:type="dxa"/>
              <w:start w:w="120" w:type="dxa"/>
              <w:bottom w:w="80" w:type="dxa"/>
              <w:end w:w="120" w:type="dxa"/>
            </w:tcMar>
            <w:vAlign w:val="center"/>
          </w:tcPr>
          <w:p>
            <w:r>
              <w:rPr>
                <w:rFonts w:ascii="Calibri" w:hAnsi="Calibri"/>
                <w:b w:val="0"/>
                <w:color w:val="16181D"/>
                <w:sz w:val="19"/>
              </w:rPr>
              <w:t>Governance and Trace</w:t>
            </w:r>
          </w:p>
        </w:tc>
        <w:tc>
          <w:tcPr>
            <w:tcW w:type="dxa" w:w="3120"/>
            <w:tcMar>
              <w:top w:w="80" w:type="dxa"/>
              <w:start w:w="120" w:type="dxa"/>
              <w:bottom w:w="80" w:type="dxa"/>
              <w:end w:w="120" w:type="dxa"/>
            </w:tcMar>
            <w:vAlign w:val="center"/>
          </w:tcPr>
          <w:p>
            <w:r>
              <w:rPr>
                <w:rFonts w:ascii="Calibri" w:hAnsi="Calibri"/>
                <w:b w:val="0"/>
                <w:color w:val="16181D"/>
                <w:sz w:val="19"/>
              </w:rPr>
              <w:t>Implemented</w:t>
            </w:r>
          </w:p>
        </w:tc>
        <w:tc>
          <w:tcPr>
            <w:tcW w:type="dxa" w:w="3120"/>
            <w:tcMar>
              <w:top w:w="80" w:type="dxa"/>
              <w:start w:w="120" w:type="dxa"/>
              <w:bottom w:w="80" w:type="dxa"/>
              <w:end w:w="120" w:type="dxa"/>
            </w:tcMar>
            <w:vAlign w:val="center"/>
          </w:tcPr>
          <w:p>
            <w:r>
              <w:rPr>
                <w:rFonts w:ascii="Calibri" w:hAnsi="Calibri"/>
                <w:b w:val="0"/>
                <w:color w:val="16181D"/>
                <w:sz w:val="19"/>
              </w:rPr>
              <w:t>Policies, approvals, compliance, metrics, feedback, observability, audit, scorecards, and explainability contracts exist.</w:t>
            </w:r>
          </w:p>
        </w:tc>
      </w:tr>
      <w:tr>
        <w:tc>
          <w:tcPr>
            <w:tcW w:type="dxa" w:w="3120"/>
            <w:tcMar>
              <w:top w:w="80" w:type="dxa"/>
              <w:start w:w="120" w:type="dxa"/>
              <w:bottom w:w="80" w:type="dxa"/>
              <w:end w:w="120" w:type="dxa"/>
            </w:tcMar>
            <w:vAlign w:val="center"/>
          </w:tcPr>
          <w:p>
            <w:r>
              <w:rPr>
                <w:rFonts w:ascii="Calibri" w:hAnsi="Calibri"/>
                <w:b w:val="0"/>
                <w:color w:val="16181D"/>
                <w:sz w:val="19"/>
              </w:rPr>
              <w:t>Engineering Command Center</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Shared application shell and operational workspaces are available in the HEI Azure DevOps hub.</w:t>
            </w:r>
          </w:p>
        </w:tc>
      </w:tr>
      <w:tr>
        <w:tc>
          <w:tcPr>
            <w:tcW w:type="dxa" w:w="3120"/>
            <w:tcMar>
              <w:top w:w="80" w:type="dxa"/>
              <w:start w:w="120" w:type="dxa"/>
              <w:bottom w:w="80" w:type="dxa"/>
              <w:end w:w="120" w:type="dxa"/>
            </w:tcMar>
            <w:vAlign w:val="center"/>
          </w:tcPr>
          <w:p>
            <w:r>
              <w:rPr>
                <w:rFonts w:ascii="Calibri" w:hAnsi="Calibri"/>
                <w:b w:val="0"/>
                <w:color w:val="16181D"/>
                <w:sz w:val="19"/>
              </w:rPr>
              <w:t>VS Code Assistant</w:t>
            </w:r>
          </w:p>
        </w:tc>
        <w:tc>
          <w:tcPr>
            <w:tcW w:type="dxa" w:w="3120"/>
            <w:tcMar>
              <w:top w:w="80" w:type="dxa"/>
              <w:start w:w="120" w:type="dxa"/>
              <w:bottom w:w="80" w:type="dxa"/>
              <w:end w:w="120" w:type="dxa"/>
            </w:tcMar>
            <w:vAlign w:val="center"/>
          </w:tcPr>
          <w:p>
            <w:r>
              <w:rPr>
                <w:rFonts w:ascii="Calibri" w:hAnsi="Calibri"/>
                <w:b w:val="0"/>
                <w:color w:val="16181D"/>
                <w:sz w:val="19"/>
              </w:rPr>
              <w:t>Integrated</w:t>
            </w:r>
          </w:p>
        </w:tc>
        <w:tc>
          <w:tcPr>
            <w:tcW w:type="dxa" w:w="3120"/>
            <w:tcMar>
              <w:top w:w="80" w:type="dxa"/>
              <w:start w:w="120" w:type="dxa"/>
              <w:bottom w:w="80" w:type="dxa"/>
              <w:end w:w="120" w:type="dxa"/>
            </w:tcMar>
            <w:vAlign w:val="center"/>
          </w:tcPr>
          <w:p>
            <w:r>
              <w:rPr>
                <w:rFonts w:ascii="Calibri" w:hAnsi="Calibri"/>
                <w:b w:val="0"/>
                <w:color w:val="16181D"/>
                <w:sz w:val="19"/>
              </w:rPr>
              <w:t>Backend resolution, engineering request experience, execution deep links, and prompt handoff are available.</w:t>
            </w:r>
          </w:p>
        </w:tc>
      </w:tr>
      <w:tr>
        <w:tc>
          <w:tcPr>
            <w:tcW w:type="dxa" w:w="3120"/>
            <w:tcMar>
              <w:top w:w="80" w:type="dxa"/>
              <w:start w:w="120" w:type="dxa"/>
              <w:bottom w:w="80" w:type="dxa"/>
              <w:end w:w="120" w:type="dxa"/>
            </w:tcMar>
            <w:vAlign w:val="center"/>
          </w:tcPr>
          <w:p>
            <w:r>
              <w:rPr>
                <w:rFonts w:ascii="Calibri" w:hAnsi="Calibri"/>
                <w:b w:val="0"/>
                <w:color w:val="16181D"/>
                <w:sz w:val="19"/>
              </w:rPr>
              <w:t>Legacy Project Intelligence</w:t>
            </w:r>
          </w:p>
        </w:tc>
        <w:tc>
          <w:tcPr>
            <w:tcW w:type="dxa" w:w="3120"/>
            <w:tcMar>
              <w:top w:w="80" w:type="dxa"/>
              <w:start w:w="120" w:type="dxa"/>
              <w:bottom w:w="80" w:type="dxa"/>
              <w:end w:w="120" w:type="dxa"/>
            </w:tcMar>
            <w:vAlign w:val="center"/>
          </w:tcPr>
          <w:p>
            <w:r>
              <w:rPr>
                <w:rFonts w:ascii="Calibri" w:hAnsi="Calibri"/>
                <w:b w:val="0"/>
                <w:color w:val="16181D"/>
                <w:sz w:val="19"/>
              </w:rPr>
              <w:t>Compatibility</w:t>
            </w:r>
          </w:p>
        </w:tc>
        <w:tc>
          <w:tcPr>
            <w:tcW w:type="dxa" w:w="3120"/>
            <w:tcMar>
              <w:top w:w="80" w:type="dxa"/>
              <w:start w:w="120" w:type="dxa"/>
              <w:bottom w:w="80" w:type="dxa"/>
              <w:end w:w="120" w:type="dxa"/>
            </w:tcMar>
            <w:vAlign w:val="center"/>
          </w:tcPr>
          <w:p>
            <w:r>
              <w:rPr>
                <w:rFonts w:ascii="Calibri" w:hAnsi="Calibri"/>
                <w:b w:val="0"/>
                <w:color w:val="16181D"/>
                <w:sz w:val="19"/>
              </w:rPr>
              <w:t>Existing profile, knowledge-cache, planning, and artifact APIs remain while consumers migrate to Engineering Intelligence.</w:t>
            </w:r>
          </w:p>
        </w:tc>
      </w:tr>
    </w:tbl>
    <w:p>
      <w:pPr>
        <w:spacing w:after="40"/>
      </w:pPr>
    </w:p>
    <w:p>
      <w:pPr>
        <w:pStyle w:val="Heading1"/>
      </w:pPr>
      <w:r>
        <w:t>Security and Governance</w:t>
      </w:r>
    </w:p>
    <w:p>
      <w:pPr>
        <w:widowControl/>
      </w:pPr>
      <w:r>
        <w:rPr>
          <w:rFonts w:ascii="Calibri" w:hAnsi="Calibri"/>
          <w:color w:val="16181D"/>
          <w:sz w:val="22"/>
        </w:rPr>
        <w:t>The platform applies the following safety model:</w:t>
      </w:r>
    </w:p>
    <w:p>
      <w:pPr>
        <w:pStyle w:val="ListBullet"/>
        <w:spacing w:after="80"/>
      </w:pPr>
      <w:r>
        <w:rPr>
          <w:rFonts w:ascii="Calibri" w:hAnsi="Calibri"/>
          <w:color w:val="16181D"/>
          <w:sz w:val="21"/>
        </w:rPr>
        <w:t>credentials remain in backend secure configuration;</w:t>
      </w:r>
    </w:p>
    <w:p>
      <w:pPr>
        <w:pStyle w:val="ListBullet"/>
        <w:spacing w:after="80"/>
      </w:pPr>
      <w:r>
        <w:rPr>
          <w:rFonts w:ascii="Calibri" w:hAnsi="Calibri"/>
          <w:color w:val="16181D"/>
          <w:sz w:val="21"/>
        </w:rPr>
        <w:t>plaintext PATs are not returned or persisted in public connection models;</w:t>
      </w:r>
    </w:p>
    <w:p>
      <w:pPr>
        <w:pStyle w:val="ListBullet"/>
        <w:spacing w:after="80"/>
      </w:pPr>
      <w:r>
        <w:rPr>
          <w:rFonts w:ascii="Calibri" w:hAnsi="Calibri"/>
          <w:color w:val="16181D"/>
          <w:sz w:val="21"/>
        </w:rPr>
        <w:t>provider calls use bounded, budgeted context;</w:t>
      </w:r>
    </w:p>
    <w:p>
      <w:pPr>
        <w:pStyle w:val="ListBullet"/>
        <w:spacing w:after="80"/>
      </w:pPr>
      <w:r>
        <w:rPr>
          <w:rFonts w:ascii="Calibri" w:hAnsi="Calibri"/>
          <w:color w:val="16181D"/>
          <w:sz w:val="21"/>
        </w:rPr>
        <w:t>prompts containing sensitive data are not logged unless explicitly enabled;</w:t>
      </w:r>
    </w:p>
    <w:p>
      <w:pPr>
        <w:pStyle w:val="ListBullet"/>
        <w:spacing w:after="80"/>
      </w:pPr>
      <w:r>
        <w:rPr>
          <w:rFonts w:ascii="Calibri" w:hAnsi="Calibri"/>
          <w:color w:val="16181D"/>
          <w:sz w:val="21"/>
        </w:rPr>
        <w:t>ADO authorization failures are not blindly retried;</w:t>
      </w:r>
    </w:p>
    <w:p>
      <w:pPr>
        <w:pStyle w:val="ListBullet"/>
        <w:spacing w:after="80"/>
      </w:pPr>
      <w:r>
        <w:rPr>
          <w:rFonts w:ascii="Calibri" w:hAnsi="Calibri"/>
          <w:color w:val="16181D"/>
          <w:sz w:val="21"/>
        </w:rPr>
        <w:t>write actions are revision-protected and idempotent;</w:t>
      </w:r>
    </w:p>
    <w:p>
      <w:pPr>
        <w:pStyle w:val="ListBullet"/>
        <w:spacing w:after="80"/>
      </w:pPr>
      <w:r>
        <w:rPr>
          <w:rFonts w:ascii="Calibri" w:hAnsi="Calibri"/>
          <w:color w:val="16181D"/>
          <w:sz w:val="21"/>
        </w:rPr>
        <w:t>repository evidence is traceable and cannot be fabricated;</w:t>
      </w:r>
    </w:p>
    <w:p>
      <w:pPr>
        <w:pStyle w:val="ListBullet"/>
        <w:spacing w:after="80"/>
      </w:pPr>
      <w:r>
        <w:rPr>
          <w:rFonts w:ascii="Calibri" w:hAnsi="Calibri"/>
          <w:color w:val="16181D"/>
          <w:sz w:val="21"/>
        </w:rPr>
        <w:t>AI suggestions require approval before becoming official scope;</w:t>
      </w:r>
    </w:p>
    <w:p>
      <w:pPr>
        <w:pStyle w:val="ListBullet"/>
        <w:spacing w:after="80"/>
      </w:pPr>
      <w:r>
        <w:rPr>
          <w:rFonts w:ascii="Calibri" w:hAnsi="Calibri"/>
          <w:color w:val="16181D"/>
          <w:sz w:val="21"/>
        </w:rPr>
        <w:t>approved artifacts are immutable and changed through versioning;</w:t>
      </w:r>
    </w:p>
    <w:p>
      <w:pPr>
        <w:pStyle w:val="ListBullet"/>
        <w:spacing w:after="80"/>
      </w:pPr>
      <w:r>
        <w:rPr>
          <w:rFonts w:ascii="Calibri" w:hAnsi="Calibri"/>
          <w:color w:val="16181D"/>
          <w:sz w:val="21"/>
        </w:rPr>
        <w:t>every consequential action carries actor, reason, timestamp, and correlation</w:t>
      </w:r>
    </w:p>
    <w:p>
      <w:pPr>
        <w:widowControl/>
      </w:pPr>
      <w:r>
        <w:rPr>
          <w:rFonts w:ascii="Calibri" w:hAnsi="Calibri"/>
          <w:color w:val="16181D"/>
          <w:sz w:val="22"/>
        </w:rPr>
        <w:t>ID; and</w:t>
      </w:r>
    </w:p>
    <w:p>
      <w:pPr>
        <w:pStyle w:val="ListBullet"/>
        <w:spacing w:after="80"/>
      </w:pPr>
      <w:r>
        <w:rPr>
          <w:rFonts w:ascii="Calibri" w:hAnsi="Calibri"/>
          <w:color w:val="16181D"/>
          <w:sz w:val="21"/>
        </w:rPr>
        <w:t>role-aware views restrict administrative diagnostics.</w:t>
      </w:r>
    </w:p>
    <w:p>
      <w:pPr>
        <w:pStyle w:val="Heading1"/>
      </w:pPr>
      <w:r>
        <w:t>Observability and Operations</w:t>
      </w:r>
    </w:p>
    <w:p>
      <w:pPr>
        <w:widowControl/>
      </w:pPr>
      <w:r>
        <w:rPr>
          <w:rFonts w:ascii="Calibri" w:hAnsi="Calibri"/>
          <w:color w:val="16181D"/>
          <w:sz w:val="22"/>
        </w:rPr>
        <w:t>HEI records:</w:t>
      </w:r>
    </w:p>
    <w:p>
      <w:pPr>
        <w:pStyle w:val="ListBullet"/>
        <w:spacing w:after="80"/>
      </w:pPr>
      <w:r>
        <w:rPr>
          <w:rFonts w:ascii="Calibri" w:hAnsi="Calibri"/>
          <w:color w:val="16181D"/>
          <w:sz w:val="21"/>
        </w:rPr>
        <w:t>provider, model, tokens, latency, retries, and fallbacks;</w:t>
      </w:r>
    </w:p>
    <w:p>
      <w:pPr>
        <w:pStyle w:val="ListBullet"/>
        <w:spacing w:after="80"/>
      </w:pPr>
      <w:r>
        <w:rPr>
          <w:rFonts w:ascii="Calibri" w:hAnsi="Calibri"/>
          <w:color w:val="16181D"/>
          <w:sz w:val="21"/>
        </w:rPr>
        <w:t>context sources, rankings, excluded context, and freshness;</w:t>
      </w:r>
    </w:p>
    <w:p>
      <w:pPr>
        <w:pStyle w:val="ListBullet"/>
        <w:spacing w:after="80"/>
      </w:pPr>
      <w:r>
        <w:rPr>
          <w:rFonts w:ascii="Calibri" w:hAnsi="Calibri"/>
          <w:color w:val="16181D"/>
          <w:sz w:val="21"/>
        </w:rPr>
        <w:t>agent trigger, job, status, duration, result, and next action;</w:t>
      </w:r>
    </w:p>
    <w:p>
      <w:pPr>
        <w:pStyle w:val="ListBullet"/>
        <w:spacing w:after="80"/>
      </w:pPr>
      <w:r>
        <w:rPr>
          <w:rFonts w:ascii="Calibri" w:hAnsi="Calibri"/>
          <w:color w:val="16181D"/>
          <w:sz w:val="21"/>
        </w:rPr>
        <w:t>artifact lifecycle and approval history;</w:t>
      </w:r>
    </w:p>
    <w:p>
      <w:pPr>
        <w:pStyle w:val="ListBullet"/>
        <w:spacing w:after="80"/>
      </w:pPr>
      <w:r>
        <w:rPr>
          <w:rFonts w:ascii="Calibri" w:hAnsi="Calibri"/>
          <w:color w:val="16181D"/>
          <w:sz w:val="21"/>
        </w:rPr>
        <w:t>ADO synchronization cursor, counts, failures, and reconciliation;</w:t>
      </w:r>
    </w:p>
    <w:p>
      <w:pPr>
        <w:pStyle w:val="ListBullet"/>
        <w:spacing w:after="80"/>
      </w:pPr>
      <w:r>
        <w:rPr>
          <w:rFonts w:ascii="Calibri" w:hAnsi="Calibri"/>
          <w:color w:val="16181D"/>
          <w:sz w:val="21"/>
        </w:rPr>
        <w:t>runtime session timeline and correlation trace;</w:t>
      </w:r>
    </w:p>
    <w:p>
      <w:pPr>
        <w:pStyle w:val="ListBullet"/>
        <w:spacing w:after="80"/>
      </w:pPr>
      <w:r>
        <w:rPr>
          <w:rFonts w:ascii="Calibri" w:hAnsi="Calibri"/>
          <w:color w:val="16181D"/>
          <w:sz w:val="21"/>
        </w:rPr>
        <w:t>platform health, queue state, persistence, events, and service probes; and</w:t>
      </w:r>
    </w:p>
    <w:p>
      <w:pPr>
        <w:pStyle w:val="ListBullet"/>
        <w:spacing w:after="80"/>
      </w:pPr>
      <w:r>
        <w:rPr>
          <w:rFonts w:ascii="Calibri" w:hAnsi="Calibri"/>
          <w:color w:val="16181D"/>
          <w:sz w:val="21"/>
        </w:rPr>
        <w:t>human-readable activity and immutable audit history.</w:t>
      </w:r>
    </w:p>
    <w:p>
      <w:pPr>
        <w:widowControl/>
      </w:pPr>
      <w:r>
        <w:rPr>
          <w:rFonts w:ascii="Calibri" w:hAnsi="Calibri"/>
          <w:color w:val="16181D"/>
          <w:sz w:val="22"/>
        </w:rPr>
        <w:t>Command Center hardening exposes isolated health probes so one degraded service does not make the full workspace unavailable.</w:t>
      </w:r>
    </w:p>
    <w:p>
      <w:pPr>
        <w:pStyle w:val="Heading1"/>
      </w:pPr>
      <w:r>
        <w:t>Testing Strategy</w:t>
      </w:r>
    </w:p>
    <w:p>
      <w:pPr>
        <w:widowControl/>
      </w:pPr>
      <w:r>
        <w:rPr>
          <w:rFonts w:ascii="Calibri" w:hAnsi="Calibri"/>
          <w:color w:val="16181D"/>
          <w:sz w:val="22"/>
        </w:rPr>
        <w:t>The repository contains broad unit, API-contract, regression, hardening, and integration coverage across the platform. Major test areas include:</w:t>
      </w:r>
    </w:p>
    <w:p>
      <w:pPr>
        <w:pStyle w:val="ListBullet"/>
        <w:spacing w:after="80"/>
      </w:pPr>
      <w:r>
        <w:rPr>
          <w:rFonts w:ascii="Calibri" w:hAnsi="Calibri"/>
          <w:color w:val="16181D"/>
          <w:sz w:val="21"/>
        </w:rPr>
        <w:t>context-first consumer boundaries;</w:t>
      </w:r>
    </w:p>
    <w:p>
      <w:pPr>
        <w:pStyle w:val="ListBullet"/>
        <w:spacing w:after="80"/>
      </w:pPr>
      <w:r>
        <w:rPr>
          <w:rFonts w:ascii="Calibri" w:hAnsi="Calibri"/>
          <w:color w:val="16181D"/>
          <w:sz w:val="21"/>
        </w:rPr>
        <w:t>repository modes and no-fabrication guarantees;</w:t>
      </w:r>
    </w:p>
    <w:p>
      <w:pPr>
        <w:pStyle w:val="ListBullet"/>
        <w:spacing w:after="80"/>
      </w:pPr>
      <w:r>
        <w:rPr>
          <w:rFonts w:ascii="Calibri" w:hAnsi="Calibri"/>
          <w:color w:val="16181D"/>
          <w:sz w:val="21"/>
        </w:rPr>
        <w:t>requirement governance and Acceptance Criteria safety;</w:t>
      </w:r>
    </w:p>
    <w:p>
      <w:pPr>
        <w:pStyle w:val="ListBullet"/>
        <w:spacing w:after="80"/>
      </w:pPr>
      <w:r>
        <w:rPr>
          <w:rFonts w:ascii="Calibri" w:hAnsi="Calibri"/>
          <w:color w:val="16181D"/>
          <w:sz w:val="21"/>
        </w:rPr>
        <w:t>planning versioning and approval gates;</w:t>
      </w:r>
    </w:p>
    <w:p>
      <w:pPr>
        <w:pStyle w:val="ListBullet"/>
        <w:spacing w:after="80"/>
      </w:pPr>
      <w:r>
        <w:rPr>
          <w:rFonts w:ascii="Calibri" w:hAnsi="Calibri"/>
          <w:color w:val="16181D"/>
          <w:sz w:val="21"/>
        </w:rPr>
        <w:t>Azure DevOps synchronization, idempotency, revision protection, and policy;</w:t>
      </w:r>
    </w:p>
    <w:p>
      <w:pPr>
        <w:pStyle w:val="ListBullet"/>
        <w:spacing w:after="80"/>
      </w:pPr>
      <w:r>
        <w:rPr>
          <w:rFonts w:ascii="Calibri" w:hAnsi="Calibri"/>
          <w:color w:val="16181D"/>
          <w:sz w:val="21"/>
        </w:rPr>
        <w:t>prompt budgets, model adapters, routing, cache, and diagnostics;</w:t>
      </w:r>
    </w:p>
    <w:p>
      <w:pPr>
        <w:pStyle w:val="ListBullet"/>
        <w:spacing w:after="80"/>
      </w:pPr>
      <w:r>
        <w:rPr>
          <w:rFonts w:ascii="Calibri" w:hAnsi="Calibri"/>
          <w:color w:val="16181D"/>
          <w:sz w:val="21"/>
        </w:rPr>
        <w:t>execution-runtime lifecycle, recovery, and semantic diff;</w:t>
      </w:r>
    </w:p>
    <w:p>
      <w:pPr>
        <w:pStyle w:val="ListBullet"/>
        <w:spacing w:after="80"/>
      </w:pPr>
      <w:r>
        <w:rPr>
          <w:rFonts w:ascii="Calibri" w:hAnsi="Calibri"/>
          <w:color w:val="16181D"/>
          <w:sz w:val="21"/>
        </w:rPr>
        <w:t>validation, QA, PR, memory, lifecycle, agent, skill, and governance behavior;</w:t>
      </w:r>
    </w:p>
    <w:p>
      <w:pPr>
        <w:pStyle w:val="ListBullet"/>
        <w:spacing w:after="80"/>
      </w:pPr>
      <w:r>
        <w:rPr>
          <w:rFonts w:ascii="Calibri" w:hAnsi="Calibri"/>
          <w:color w:val="16181D"/>
          <w:sz w:val="21"/>
        </w:rPr>
        <w:t>Command Center workspaces, permissions, accessibility contracts, and empty</w:t>
      </w:r>
    </w:p>
    <w:p>
      <w:pPr>
        <w:widowControl/>
      </w:pPr>
      <w:r>
        <w:rPr>
          <w:rFonts w:ascii="Calibri" w:hAnsi="Calibri"/>
          <w:color w:val="16181D"/>
          <w:sz w:val="22"/>
        </w:rPr>
        <w:t>states; and</w:t>
      </w:r>
    </w:p>
    <w:p>
      <w:pPr>
        <w:pStyle w:val="ListBullet"/>
        <w:spacing w:after="80"/>
      </w:pPr>
      <w:r>
        <w:rPr>
          <w:rFonts w:ascii="Calibri" w:hAnsi="Calibri"/>
          <w:color w:val="16181D"/>
          <w:sz w:val="21"/>
        </w:rPr>
        <w:t>mocked and opt-in live Azure DevOps operational validation.</w:t>
      </w:r>
    </w:p>
    <w:p>
      <w:pPr>
        <w:widowControl/>
      </w:pPr>
      <w:r>
        <w:rPr>
          <w:rFonts w:ascii="Calibri" w:hAnsi="Calibri"/>
          <w:color w:val="16181D"/>
          <w:sz w:val="22"/>
        </w:rPr>
        <w:t>Standard verification: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b w:val="0"/>
                <w:i w:val="0"/>
                <w:color w:val="16181D"/>
                <w:sz w:val="17"/>
              </w:rPr>
              <w:t>python3 -m compileall backend tests</w:t>
              <w:br/>
              <w:t>python3 -m unittest discover -s tests -v</w:t>
              <w:br/>
              <w:t>cd azure-devops-extension &amp;&amp; npm run build</w:t>
              <w:br/>
              <w:t>cd ../vscode-extension &amp;&amp; npm run compile</w:t>
            </w:r>
          </w:p>
        </w:tc>
      </w:tr>
    </w:tbl>
    <w:p>
      <w:pPr>
        <w:widowControl/>
      </w:pPr>
      <w:r>
        <w:rPr>
          <w:rFonts w:ascii="Calibri" w:hAnsi="Calibri"/>
          <w:color w:val="16181D"/>
          <w:sz w:val="22"/>
        </w:rPr>
        <w:t>Destructive integration tests must never target a production Azure DevOps project.</w:t>
      </w:r>
    </w:p>
    <w:p>
      <w:pPr>
        <w:pStyle w:val="Heading1"/>
      </w:pPr>
      <w:r>
        <w:t>Current Constraints and Known Limitations</w:t>
      </w:r>
    </w:p>
    <w:p>
      <w:pPr>
        <w:pStyle w:val="Heading2"/>
      </w:pPr>
      <w:r>
        <w:t>Persistence</w:t>
      </w:r>
    </w:p>
    <w:p>
      <w:pPr>
        <w:widowControl/>
      </w:pPr>
      <w:r>
        <w:rPr>
          <w:rFonts w:ascii="Calibri" w:hAnsi="Calibri"/>
          <w:color w:val="16181D"/>
          <w:sz w:val="22"/>
        </w:rPr>
        <w:t>The current backend primarily uses JSON document stores. This is appropriate for development, demos, deterministic tests, and bounded deployments, but it is not the final enterprise persistence architecture for high concurrency, distributed locking, large data volumes, or multi-instance writes.</w:t>
      </w:r>
    </w:p>
    <w:p>
      <w:pPr>
        <w:pStyle w:val="Heading2"/>
      </w:pPr>
      <w:r>
        <w:t>Backend Process</w:t>
      </w:r>
    </w:p>
    <w:p>
      <w:pPr>
        <w:widowControl/>
      </w:pPr>
      <w:r>
        <w:rPr>
          <w:rFonts w:ascii="Calibri" w:hAnsi="Calibri"/>
          <w:color w:val="16181D"/>
          <w:sz w:val="22"/>
        </w:rPr>
        <w:t>Most domain modules run in one FastAPI deployment. Boundaries are logical and contract-driven rather than independently deployed services. Job execution and long-running repository synchronization need durable distributed execution for large-scale production use.</w:t>
      </w:r>
    </w:p>
    <w:p>
      <w:pPr>
        <w:pStyle w:val="Heading2"/>
      </w:pPr>
      <w:r>
        <w:t>Compatibility Surface</w:t>
      </w:r>
    </w:p>
    <w:p>
      <w:pPr>
        <w:widowControl/>
      </w:pPr>
      <w:r>
        <w:rPr>
          <w:rFonts w:ascii="Calibri" w:hAnsi="Calibri"/>
          <w:color w:val="16181D"/>
          <w:sz w:val="22"/>
        </w:rPr>
        <w:t>Legacy ProjectIntelligenceService, old prompt names, and selected deprecated routes remain available. Compatibility wrappers reduce migration risk but also increase the API and maintenance surface until deprecation is complete.</w:t>
      </w:r>
    </w:p>
    <w:p>
      <w:pPr>
        <w:pStyle w:val="Heading2"/>
      </w:pPr>
      <w:r>
        <w:t>Repository Scale</w:t>
      </w:r>
    </w:p>
    <w:p>
      <w:pPr>
        <w:widowControl/>
      </w:pPr>
      <w:r>
        <w:rPr>
          <w:rFonts w:ascii="Calibri" w:hAnsi="Calibri"/>
          <w:color w:val="16181D"/>
          <w:sz w:val="22"/>
        </w:rPr>
        <w:t>The JSON/in-memory Engineering Graph is intentional for the current stage. Very large multi-repository organizations will require stronger indexing, partitioning, incremental retrieval, and storage strategies.</w:t>
      </w:r>
    </w:p>
    <w:p>
      <w:pPr>
        <w:pStyle w:val="Heading2"/>
      </w:pPr>
      <w:r>
        <w:t>Provider Variability</w:t>
      </w:r>
    </w:p>
    <w:p>
      <w:pPr>
        <w:widowControl/>
      </w:pPr>
      <w:r>
        <w:rPr>
          <w:rFonts w:ascii="Calibri" w:hAnsi="Calibri"/>
          <w:color w:val="16181D"/>
          <w:sz w:val="22"/>
        </w:rPr>
        <w:t>AI providers vary in context size, JSON reliability, tool support, latency, and availability. Deterministic baselines and provider-response normalization keep workflows usable, but enrichment quality still depends on the configured provider and available evidence.</w:t>
      </w:r>
    </w:p>
    <w:p>
      <w:pPr>
        <w:pStyle w:val="Heading2"/>
      </w:pPr>
      <w:r>
        <w:t>Enterprise Operations</w:t>
      </w:r>
    </w:p>
    <w:p>
      <w:pPr>
        <w:widowControl/>
      </w:pPr>
      <w:r>
        <w:rPr>
          <w:rFonts w:ascii="Calibri" w:hAnsi="Calibri"/>
          <w:color w:val="16181D"/>
          <w:sz w:val="22"/>
        </w:rPr>
        <w:t>Live Azure DevOps automation, multi-tenant isolation, organization-wide policy, retention, secrets rotation, disaster recovery, and service-level objectives require environment-specific operational validation before production rollout.</w:t>
      </w:r>
    </w:p>
    <w:p>
      <w:r>
        <w:br w:type="page"/>
      </w:r>
    </w:p>
    <w:p>
      <w:pPr>
        <w:pStyle w:val="Heading1"/>
      </w:pPr>
      <w:r>
        <w:t>Future Plans</w:t>
      </w:r>
    </w:p>
    <w:p>
      <w:pPr>
        <w:pStyle w:val="Heading2"/>
      </w:pPr>
      <w:r>
        <w:t>Phase A: Reliability and Contract Consolidation</w:t>
      </w:r>
    </w:p>
    <w:p>
      <w:pPr>
        <w:pStyle w:val="ListBullet"/>
        <w:spacing w:after="80"/>
      </w:pPr>
      <w:r>
        <w:rPr>
          <w:rFonts w:ascii="Calibri" w:hAnsi="Calibri"/>
          <w:color w:val="16181D"/>
          <w:sz w:val="21"/>
        </w:rPr>
        <w:t>complete migration from legacy Project Intelligence generation paths to</w:t>
      </w:r>
    </w:p>
    <w:p>
      <w:pPr>
        <w:widowControl/>
      </w:pPr>
      <w:r>
        <w:rPr>
          <w:rFonts w:ascii="Calibri" w:hAnsi="Calibri"/>
          <w:color w:val="16181D"/>
          <w:sz w:val="22"/>
        </w:rPr>
        <w:t>Engineering Intelligence and Reasoning Engine contracts;</w:t>
      </w:r>
    </w:p>
    <w:p>
      <w:pPr>
        <w:pStyle w:val="ListBullet"/>
        <w:spacing w:after="80"/>
      </w:pPr>
      <w:r>
        <w:rPr>
          <w:rFonts w:ascii="Calibri" w:hAnsi="Calibri"/>
          <w:color w:val="16181D"/>
          <w:sz w:val="21"/>
        </w:rPr>
        <w:t>remove remaining raw-context and provider-specific workflow calls;</w:t>
      </w:r>
    </w:p>
    <w:p>
      <w:pPr>
        <w:pStyle w:val="ListBullet"/>
        <w:spacing w:after="80"/>
      </w:pPr>
      <w:r>
        <w:rPr>
          <w:rFonts w:ascii="Calibri" w:hAnsi="Calibri"/>
          <w:color w:val="16181D"/>
          <w:sz w:val="21"/>
        </w:rPr>
        <w:t>formalize schema compatibility and deprecation windows;</w:t>
      </w:r>
    </w:p>
    <w:p>
      <w:pPr>
        <w:pStyle w:val="ListBullet"/>
        <w:spacing w:after="80"/>
      </w:pPr>
      <w:r>
        <w:rPr>
          <w:rFonts w:ascii="Calibri" w:hAnsi="Calibri"/>
          <w:color w:val="16181D"/>
          <w:sz w:val="21"/>
        </w:rPr>
        <w:t>strengthen requirement-statement approval for suggested enhancements;</w:t>
      </w:r>
    </w:p>
    <w:p>
      <w:pPr>
        <w:pStyle w:val="ListBullet"/>
        <w:spacing w:after="80"/>
      </w:pPr>
      <w:r>
        <w:rPr>
          <w:rFonts w:ascii="Calibri" w:hAnsi="Calibri"/>
          <w:color w:val="16181D"/>
          <w:sz w:val="21"/>
        </w:rPr>
        <w:t>make all lifecycle state durable and independently recoverable; and</w:t>
      </w:r>
    </w:p>
    <w:p>
      <w:pPr>
        <w:pStyle w:val="ListBullet"/>
        <w:spacing w:after="80"/>
      </w:pPr>
      <w:r>
        <w:rPr>
          <w:rFonts w:ascii="Calibri" w:hAnsi="Calibri"/>
          <w:color w:val="16181D"/>
          <w:sz w:val="21"/>
        </w:rPr>
        <w:t>keep the complete regression suite green as a release gate.</w:t>
      </w:r>
    </w:p>
    <w:p>
      <w:pPr>
        <w:pStyle w:val="Heading2"/>
      </w:pPr>
      <w:r>
        <w:t>Phase B: Enterprise Persistence and Scale</w:t>
      </w:r>
    </w:p>
    <w:p>
      <w:pPr>
        <w:pStyle w:val="ListBullet"/>
        <w:spacing w:after="80"/>
      </w:pPr>
      <w:r>
        <w:rPr>
          <w:rFonts w:ascii="Calibri" w:hAnsi="Calibri"/>
          <w:color w:val="16181D"/>
          <w:sz w:val="21"/>
        </w:rPr>
        <w:t>introduce a production database behind existing repository abstractions;</w:t>
      </w:r>
    </w:p>
    <w:p>
      <w:pPr>
        <w:pStyle w:val="ListBullet"/>
        <w:spacing w:after="80"/>
      </w:pPr>
      <w:r>
        <w:rPr>
          <w:rFonts w:ascii="Calibri" w:hAnsi="Calibri"/>
          <w:color w:val="16181D"/>
          <w:sz w:val="21"/>
        </w:rPr>
        <w:t>add durable queues, distributed locks, idempotency storage, and worker</w:t>
      </w:r>
    </w:p>
    <w:p>
      <w:pPr>
        <w:widowControl/>
      </w:pPr>
      <w:r>
        <w:rPr>
          <w:rFonts w:ascii="Calibri" w:hAnsi="Calibri"/>
          <w:color w:val="16181D"/>
          <w:sz w:val="22"/>
        </w:rPr>
        <w:t>processes;</w:t>
      </w:r>
    </w:p>
    <w:p>
      <w:pPr>
        <w:pStyle w:val="ListBullet"/>
        <w:spacing w:after="80"/>
      </w:pPr>
      <w:r>
        <w:rPr>
          <w:rFonts w:ascii="Calibri" w:hAnsi="Calibri"/>
          <w:color w:val="16181D"/>
          <w:sz w:val="21"/>
        </w:rPr>
        <w:t>support multi-instance backend deployment;</w:t>
      </w:r>
    </w:p>
    <w:p>
      <w:pPr>
        <w:pStyle w:val="ListBullet"/>
        <w:spacing w:after="80"/>
      </w:pPr>
      <w:r>
        <w:rPr>
          <w:rFonts w:ascii="Calibri" w:hAnsi="Calibri"/>
          <w:color w:val="16181D"/>
          <w:sz w:val="21"/>
        </w:rPr>
        <w:t>add object storage for documents, diagnostics, and large snapshots;</w:t>
      </w:r>
    </w:p>
    <w:p>
      <w:pPr>
        <w:pStyle w:val="ListBullet"/>
        <w:spacing w:after="80"/>
      </w:pPr>
      <w:r>
        <w:rPr>
          <w:rFonts w:ascii="Calibri" w:hAnsi="Calibri"/>
          <w:color w:val="16181D"/>
          <w:sz w:val="21"/>
        </w:rPr>
        <w:t>improve graph indexing for large repositories without coupling domain code to</w:t>
      </w:r>
    </w:p>
    <w:p>
      <w:pPr>
        <w:widowControl/>
      </w:pPr>
      <w:r>
        <w:rPr>
          <w:rFonts w:ascii="Calibri" w:hAnsi="Calibri"/>
          <w:color w:val="16181D"/>
          <w:sz w:val="22"/>
        </w:rPr>
        <w:t>a specific graph database; and</w:t>
      </w:r>
    </w:p>
    <w:p>
      <w:pPr>
        <w:pStyle w:val="ListBullet"/>
        <w:spacing w:after="80"/>
      </w:pPr>
      <w:r>
        <w:rPr>
          <w:rFonts w:ascii="Calibri" w:hAnsi="Calibri"/>
          <w:color w:val="16181D"/>
          <w:sz w:val="21"/>
        </w:rPr>
        <w:t>establish backup, restore, retention, and disaster-recovery procedures.</w:t>
      </w:r>
    </w:p>
    <w:p>
      <w:pPr>
        <w:pStyle w:val="Heading2"/>
      </w:pPr>
      <w:r>
        <w:t>Phase C: Repository and Engineering Intelligence Expansion</w:t>
      </w:r>
    </w:p>
    <w:p>
      <w:pPr>
        <w:pStyle w:val="ListBullet"/>
        <w:spacing w:after="80"/>
      </w:pPr>
      <w:r>
        <w:rPr>
          <w:rFonts w:ascii="Calibri" w:hAnsi="Calibri"/>
          <w:color w:val="16181D"/>
          <w:sz w:val="21"/>
        </w:rPr>
        <w:t>deepen language-aware symbol and relationship extraction;</w:t>
      </w:r>
    </w:p>
    <w:p>
      <w:pPr>
        <w:pStyle w:val="ListBullet"/>
        <w:spacing w:after="80"/>
      </w:pPr>
      <w:r>
        <w:rPr>
          <w:rFonts w:ascii="Calibri" w:hAnsi="Calibri"/>
          <w:color w:val="16181D"/>
          <w:sz w:val="21"/>
        </w:rPr>
        <w:t>improve repository-drift, impact, and cross-repository analysis;</w:t>
      </w:r>
    </w:p>
    <w:p>
      <w:pPr>
        <w:pStyle w:val="ListBullet"/>
        <w:spacing w:after="80"/>
      </w:pPr>
      <w:r>
        <w:rPr>
          <w:rFonts w:ascii="Calibri" w:hAnsi="Calibri"/>
          <w:color w:val="16181D"/>
          <w:sz w:val="21"/>
        </w:rPr>
        <w:t>expand architecture-decision and standards discovery;</w:t>
      </w:r>
    </w:p>
    <w:p>
      <w:pPr>
        <w:pStyle w:val="ListBullet"/>
        <w:spacing w:after="80"/>
      </w:pPr>
      <w:r>
        <w:rPr>
          <w:rFonts w:ascii="Calibri" w:hAnsi="Calibri"/>
          <w:color w:val="16181D"/>
          <w:sz w:val="21"/>
        </w:rPr>
        <w:t>add organization-level approved engineering patterns;</w:t>
      </w:r>
    </w:p>
    <w:p>
      <w:pPr>
        <w:pStyle w:val="ListBullet"/>
        <w:spacing w:after="80"/>
      </w:pPr>
      <w:r>
        <w:rPr>
          <w:rFonts w:ascii="Calibri" w:hAnsi="Calibri"/>
          <w:color w:val="16181D"/>
          <w:sz w:val="21"/>
        </w:rPr>
        <w:t>improve semantic search with bounded evidence and source authority; and</w:t>
      </w:r>
    </w:p>
    <w:p>
      <w:pPr>
        <w:pStyle w:val="ListBullet"/>
        <w:spacing w:after="80"/>
      </w:pPr>
      <w:r>
        <w:rPr>
          <w:rFonts w:ascii="Calibri" w:hAnsi="Calibri"/>
          <w:color w:val="16181D"/>
          <w:sz w:val="21"/>
        </w:rPr>
        <w:t>provide portfolio-level capability, dependency, and risk intelligence.</w:t>
      </w:r>
    </w:p>
    <w:p>
      <w:pPr>
        <w:pStyle w:val="Heading2"/>
      </w:pPr>
      <w:r>
        <w:t>Phase D: Execution and IDE Integration</w:t>
      </w:r>
    </w:p>
    <w:p>
      <w:pPr>
        <w:pStyle w:val="ListBullet"/>
        <w:spacing w:after="80"/>
      </w:pPr>
      <w:r>
        <w:rPr>
          <w:rFonts w:ascii="Calibri" w:hAnsi="Calibri"/>
          <w:color w:val="16181D"/>
          <w:sz w:val="21"/>
        </w:rPr>
        <w:t>complete bidirectional execution workspace state between HEI and IDEs;</w:t>
      </w:r>
    </w:p>
    <w:p>
      <w:pPr>
        <w:pStyle w:val="ListBullet"/>
        <w:spacing w:after="80"/>
      </w:pPr>
      <w:r>
        <w:rPr>
          <w:rFonts w:ascii="Calibri" w:hAnsi="Calibri"/>
          <w:color w:val="16181D"/>
          <w:sz w:val="21"/>
        </w:rPr>
        <w:t>support additional coding-assistant adapters through Platform SDK contracts;</w:t>
      </w:r>
    </w:p>
    <w:p>
      <w:pPr>
        <w:pStyle w:val="ListBullet"/>
        <w:spacing w:after="80"/>
      </w:pPr>
      <w:r>
        <w:rPr>
          <w:rFonts w:ascii="Calibri" w:hAnsi="Calibri"/>
          <w:color w:val="16181D"/>
          <w:sz w:val="21"/>
        </w:rPr>
        <w:t>connect implementation results and test/build evidence automatically;</w:t>
      </w:r>
    </w:p>
    <w:p>
      <w:pPr>
        <w:pStyle w:val="ListBullet"/>
        <w:spacing w:after="80"/>
      </w:pPr>
      <w:r>
        <w:rPr>
          <w:rFonts w:ascii="Calibri" w:hAnsi="Calibri"/>
          <w:color w:val="16181D"/>
          <w:sz w:val="21"/>
        </w:rPr>
        <w:t>improve execution replay, comparison, and recovery;</w:t>
      </w:r>
    </w:p>
    <w:p>
      <w:pPr>
        <w:pStyle w:val="ListBullet"/>
        <w:spacing w:after="80"/>
      </w:pPr>
      <w:r>
        <w:rPr>
          <w:rFonts w:ascii="Calibri" w:hAnsi="Calibri"/>
          <w:color w:val="16181D"/>
          <w:sz w:val="21"/>
        </w:rPr>
        <w:t>expose governed skills to additional IDEs and MCP-compatible clients; and</w:t>
      </w:r>
    </w:p>
    <w:p>
      <w:pPr>
        <w:pStyle w:val="ListBullet"/>
        <w:spacing w:after="80"/>
      </w:pPr>
      <w:r>
        <w:rPr>
          <w:rFonts w:ascii="Calibri" w:hAnsi="Calibri"/>
          <w:color w:val="16181D"/>
          <w:sz w:val="21"/>
        </w:rPr>
        <w:t>retain human approval for repository changes, PRs, and releases.</w:t>
      </w:r>
    </w:p>
    <w:p>
      <w:pPr>
        <w:pStyle w:val="Heading2"/>
      </w:pPr>
      <w:r>
        <w:t>Phase E: Governance, Operations, and Productization</w:t>
      </w:r>
    </w:p>
    <w:p>
      <w:pPr>
        <w:pStyle w:val="ListBullet"/>
        <w:spacing w:after="80"/>
      </w:pPr>
      <w:r>
        <w:rPr>
          <w:rFonts w:ascii="Calibri" w:hAnsi="Calibri"/>
          <w:color w:val="16181D"/>
          <w:sz w:val="21"/>
        </w:rPr>
        <w:t>organization-level policy packs and approval chains;</w:t>
      </w:r>
    </w:p>
    <w:p>
      <w:pPr>
        <w:pStyle w:val="ListBullet"/>
        <w:spacing w:after="80"/>
      </w:pPr>
      <w:r>
        <w:rPr>
          <w:rFonts w:ascii="Calibri" w:hAnsi="Calibri"/>
          <w:color w:val="16181D"/>
          <w:sz w:val="21"/>
        </w:rPr>
        <w:t>enterprise identity, tenant isolation, and least-privilege administration;</w:t>
      </w:r>
    </w:p>
    <w:p>
      <w:pPr>
        <w:pStyle w:val="ListBullet"/>
        <w:spacing w:after="80"/>
      </w:pPr>
      <w:r>
        <w:rPr>
          <w:rFonts w:ascii="Calibri" w:hAnsi="Calibri"/>
          <w:color w:val="16181D"/>
          <w:sz w:val="21"/>
        </w:rPr>
        <w:t>service-level objectives, alerting, capacity management, and cost controls;</w:t>
      </w:r>
    </w:p>
    <w:p>
      <w:pPr>
        <w:pStyle w:val="ListBullet"/>
        <w:spacing w:after="80"/>
      </w:pPr>
      <w:r>
        <w:rPr>
          <w:rFonts w:ascii="Calibri" w:hAnsi="Calibri"/>
          <w:color w:val="16181D"/>
          <w:sz w:val="21"/>
        </w:rPr>
        <w:t>audit export and compliance reporting;</w:t>
      </w:r>
    </w:p>
    <w:p>
      <w:pPr>
        <w:pStyle w:val="ListBullet"/>
        <w:spacing w:after="80"/>
      </w:pPr>
      <w:r>
        <w:rPr>
          <w:rFonts w:ascii="Calibri" w:hAnsi="Calibri"/>
          <w:color w:val="16181D"/>
          <w:sz w:val="21"/>
        </w:rPr>
        <w:t>real-time Command Center notifications;</w:t>
      </w:r>
    </w:p>
    <w:p>
      <w:pPr>
        <w:pStyle w:val="ListBullet"/>
        <w:spacing w:after="80"/>
      </w:pPr>
      <w:r>
        <w:rPr>
          <w:rFonts w:ascii="Calibri" w:hAnsi="Calibri"/>
          <w:color w:val="16181D"/>
          <w:sz w:val="21"/>
        </w:rPr>
        <w:t>richer accessibility, localization, and mobile-responsive experiences; and</w:t>
      </w:r>
    </w:p>
    <w:p>
      <w:pPr>
        <w:pStyle w:val="ListBullet"/>
        <w:spacing w:after="80"/>
      </w:pPr>
      <w:r>
        <w:rPr>
          <w:rFonts w:ascii="Calibri" w:hAnsi="Calibri"/>
          <w:color w:val="16181D"/>
          <w:sz w:val="21"/>
        </w:rPr>
        <w:t>stable public SDK, CLI, and integration certification.</w:t>
      </w:r>
    </w:p>
    <w:p>
      <w:pPr>
        <w:pStyle w:val="Heading2"/>
      </w:pPr>
      <w:r>
        <w:t>Phase F: Controlled Autonomous Preparation</w:t>
      </w:r>
    </w:p>
    <w:p>
      <w:pPr>
        <w:pStyle w:val="ListBullet"/>
        <w:spacing w:after="80"/>
      </w:pPr>
      <w:r>
        <w:rPr>
          <w:rFonts w:ascii="Calibri" w:hAnsi="Calibri"/>
          <w:color w:val="16181D"/>
          <w:sz w:val="21"/>
        </w:rPr>
        <w:t>agents prepare more routine planning, execution, QA, and ADO actions from</w:t>
      </w:r>
    </w:p>
    <w:p>
      <w:pPr>
        <w:widowControl/>
      </w:pPr>
      <w:r>
        <w:rPr>
          <w:rFonts w:ascii="Calibri" w:hAnsi="Calibri"/>
          <w:color w:val="16181D"/>
          <w:sz w:val="22"/>
        </w:rPr>
        <w:t>events;</w:t>
      </w:r>
    </w:p>
    <w:p>
      <w:pPr>
        <w:pStyle w:val="ListBullet"/>
        <w:spacing w:after="80"/>
      </w:pPr>
      <w:r>
        <w:rPr>
          <w:rFonts w:ascii="Calibri" w:hAnsi="Calibri"/>
          <w:color w:val="16181D"/>
          <w:sz w:val="21"/>
        </w:rPr>
        <w:t>policies determine when informational actions can run without individual</w:t>
      </w:r>
    </w:p>
    <w:p>
      <w:pPr>
        <w:widowControl/>
      </w:pPr>
      <w:r>
        <w:rPr>
          <w:rFonts w:ascii="Calibri" w:hAnsi="Calibri"/>
          <w:color w:val="16181D"/>
          <w:sz w:val="22"/>
        </w:rPr>
        <w:t>approval;</w:t>
      </w:r>
    </w:p>
    <w:p>
      <w:pPr>
        <w:pStyle w:val="ListBullet"/>
        <w:spacing w:after="80"/>
      </w:pPr>
      <w:r>
        <w:rPr>
          <w:rFonts w:ascii="Calibri" w:hAnsi="Calibri"/>
          <w:color w:val="16181D"/>
          <w:sz w:val="21"/>
        </w:rPr>
        <w:t>consequential writes, merges, deployment, and release decisions remain</w:t>
      </w:r>
    </w:p>
    <w:p>
      <w:pPr>
        <w:widowControl/>
      </w:pPr>
      <w:r>
        <w:rPr>
          <w:rFonts w:ascii="Calibri" w:hAnsi="Calibri"/>
          <w:color w:val="16181D"/>
          <w:sz w:val="22"/>
        </w:rPr>
        <w:t>explicitly governed; and</w:t>
      </w:r>
    </w:p>
    <w:p>
      <w:pPr>
        <w:pStyle w:val="ListBullet"/>
        <w:spacing w:after="80"/>
      </w:pPr>
      <w:r>
        <w:rPr>
          <w:rFonts w:ascii="Calibri" w:hAnsi="Calibri"/>
          <w:color w:val="16181D"/>
          <w:sz w:val="21"/>
        </w:rPr>
        <w:t>feedback and validated outcomes improve Engineering Memory and estimation</w:t>
      </w:r>
    </w:p>
    <w:p>
      <w:pPr>
        <w:widowControl/>
      </w:pPr>
      <w:r>
        <w:rPr>
          <w:rFonts w:ascii="Calibri" w:hAnsi="Calibri"/>
          <w:color w:val="16181D"/>
          <w:sz w:val="22"/>
        </w:rPr>
        <w:t>without learning from failed or rejected artifacts.</w:t>
      </w:r>
    </w:p>
    <w:p>
      <w:pPr>
        <w:pStyle w:val="Heading1"/>
      </w:pPr>
      <w:r>
        <w:t>Target Enterprise Architecture</w:t>
      </w:r>
    </w:p>
    <w:p>
      <w:pPr>
        <w:keepNext/>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slide-15.png"/>
                    <pic:cNvPicPr/>
                  </pic:nvPicPr>
                  <pic:blipFill>
                    <a:blip r:embed="rId19"/>
                    <a:stretch>
                      <a:fillRect/>
                    </a:stretch>
                  </pic:blipFill>
                  <pic:spPr>
                    <a:xfrm>
                      <a:off x="0" y="0"/>
                      <a:ext cx="5806440" cy="3266122"/>
                    </a:xfrm>
                    <a:prstGeom prst="rect"/>
                  </pic:spPr>
                </pic:pic>
              </a:graphicData>
            </a:graphic>
          </wp:inline>
        </w:drawing>
      </w:r>
    </w:p>
    <w:p>
      <w:pPr>
        <w:spacing w:before="40" w:after="200"/>
        <w:jc w:val="center"/>
      </w:pPr>
      <w:r>
        <w:rPr>
          <w:rFonts w:ascii="Calibri" w:hAnsi="Calibri"/>
          <w:b w:val="0"/>
          <w:i/>
          <w:color w:val="667085"/>
          <w:sz w:val="18"/>
        </w:rPr>
        <w:t>Figure 8. Target Platform SDK and independently scalable service architecture.</w:t>
      </w:r>
    </w:p>
    <w:p>
      <w:pPr>
        <w:widowControl/>
      </w:pPr>
      <w:r>
        <w:rPr>
          <w:rFonts w:ascii="Calibri" w:hAnsi="Calibri"/>
          <w:color w:val="16181D"/>
          <w:sz w:val="22"/>
        </w:rPr>
        <w:t>The target architecture preserves the current domain contracts. Storage, transport, and execution infrastructure can evolve without forcing Planning, Execution, QA, or client applications to reinterpret engineering context.</w:t>
      </w:r>
    </w:p>
    <w:p>
      <w:pPr>
        <w:pStyle w:val="Heading1"/>
      </w:pPr>
      <w:r>
        <w:t>Architectural Guardrails</w:t>
      </w:r>
    </w:p>
    <w:p>
      <w:pPr>
        <w:widowControl/>
      </w:pPr>
      <w:r>
        <w:rPr>
          <w:rFonts w:ascii="Calibri" w:hAnsi="Calibri"/>
          <w:color w:val="16181D"/>
          <w:sz w:val="22"/>
        </w:rPr>
        <w:t>Future implementation must preserve these rules:</w:t>
      </w:r>
    </w:p>
    <w:p>
      <w:pPr>
        <w:spacing w:after="80"/>
        <w:numPr>
          <w:ilvl w:val="0"/>
          <w:numId w:val="24"/>
        </w:numPr>
      </w:pPr>
      <w:r>
        <w:rPr>
          <w:rFonts w:ascii="Calibri" w:hAnsi="Calibri"/>
          <w:color w:val="16181D"/>
          <w:sz w:val="21"/>
        </w:rPr>
        <w:t>Planning never receives raw requirement input.</w:t>
      </w:r>
    </w:p>
    <w:p>
      <w:pPr>
        <w:spacing w:after="80"/>
        <w:numPr>
          <w:ilvl w:val="0"/>
          <w:numId w:val="25"/>
        </w:numPr>
      </w:pPr>
      <w:r>
        <w:rPr>
          <w:rFonts w:ascii="Calibri" w:hAnsi="Calibri"/>
          <w:color w:val="16181D"/>
          <w:sz w:val="21"/>
        </w:rPr>
        <w:t>Engineering Intelligence owns fact orchestration; Reasoning AI owns</w:t>
      </w:r>
    </w:p>
    <w:p>
      <w:pPr>
        <w:widowControl/>
      </w:pPr>
      <w:r>
        <w:rPr>
          <w:rFonts w:ascii="Calibri" w:hAnsi="Calibri"/>
          <w:color w:val="16181D"/>
          <w:sz w:val="22"/>
        </w:rPr>
        <w:t>judgment.</w:t>
      </w:r>
    </w:p>
    <w:p>
      <w:pPr>
        <w:spacing w:after="80"/>
        <w:numPr>
          <w:ilvl w:val="0"/>
          <w:numId w:val="26"/>
        </w:numPr>
      </w:pPr>
      <w:r>
        <w:rPr>
          <w:rFonts w:ascii="Calibri" w:hAnsi="Calibri"/>
          <w:color w:val="16181D"/>
          <w:sz w:val="21"/>
        </w:rPr>
        <w:t>Context Intelligence is the context assembly authority.</w:t>
      </w:r>
    </w:p>
    <w:p>
      <w:pPr>
        <w:spacing w:after="80"/>
        <w:numPr>
          <w:ilvl w:val="0"/>
          <w:numId w:val="27"/>
        </w:numPr>
      </w:pPr>
      <w:r>
        <w:rPr>
          <w:rFonts w:ascii="Calibri" w:hAnsi="Calibri"/>
          <w:color w:val="16181D"/>
          <w:sz w:val="21"/>
        </w:rPr>
        <w:t>Repository Intelligence is the source of truth for current code evidence.</w:t>
      </w:r>
    </w:p>
    <w:p>
      <w:pPr>
        <w:spacing w:after="80"/>
        <w:numPr>
          <w:ilvl w:val="0"/>
          <w:numId w:val="28"/>
        </w:numPr>
      </w:pPr>
      <w:r>
        <w:rPr>
          <w:rFonts w:ascii="Calibri" w:hAnsi="Calibri"/>
          <w:color w:val="16181D"/>
          <w:sz w:val="21"/>
        </w:rPr>
        <w:t>Execution Packages consume Context Capsules rather than broad project</w:t>
      </w:r>
    </w:p>
    <w:p>
      <w:pPr>
        <w:widowControl/>
      </w:pPr>
      <w:r>
        <w:rPr>
          <w:rFonts w:ascii="Calibri" w:hAnsi="Calibri"/>
          <w:color w:val="16181D"/>
          <w:sz w:val="22"/>
        </w:rPr>
        <w:t>context.</w:t>
      </w:r>
    </w:p>
    <w:p>
      <w:pPr>
        <w:spacing w:after="80"/>
        <w:numPr>
          <w:ilvl w:val="0"/>
          <w:numId w:val="29"/>
        </w:numPr>
      </w:pPr>
      <w:r>
        <w:rPr>
          <w:rFonts w:ascii="Calibri" w:hAnsi="Calibri"/>
          <w:color w:val="16181D"/>
          <w:sz w:val="21"/>
        </w:rPr>
        <w:t>Execution Manifests consume Execution Packages.</w:t>
      </w:r>
    </w:p>
    <w:p>
      <w:pPr>
        <w:spacing w:after="80"/>
        <w:numPr>
          <w:ilvl w:val="0"/>
          <w:numId w:val="30"/>
        </w:numPr>
      </w:pPr>
      <w:r>
        <w:rPr>
          <w:rFonts w:ascii="Calibri" w:hAnsi="Calibri"/>
          <w:color w:val="16181D"/>
          <w:sz w:val="21"/>
        </w:rPr>
        <w:t>Prompt Intelligence never independently queries repository or planning data.</w:t>
      </w:r>
    </w:p>
    <w:p>
      <w:pPr>
        <w:spacing w:after="80"/>
        <w:numPr>
          <w:ilvl w:val="0"/>
          <w:numId w:val="31"/>
        </w:numPr>
      </w:pPr>
      <w:r>
        <w:rPr>
          <w:rFonts w:ascii="Calibri" w:hAnsi="Calibri"/>
          <w:color w:val="16181D"/>
          <w:sz w:val="21"/>
        </w:rPr>
        <w:t>Validation and QA consume approved execution artifacts rather than</w:t>
      </w:r>
    </w:p>
    <w:p>
      <w:pPr>
        <w:widowControl/>
      </w:pPr>
      <w:r>
        <w:rPr>
          <w:rFonts w:ascii="Calibri" w:hAnsi="Calibri"/>
          <w:color w:val="16181D"/>
          <w:sz w:val="22"/>
        </w:rPr>
        <w:t>regenerating planning.</w:t>
      </w:r>
    </w:p>
    <w:p>
      <w:pPr>
        <w:spacing w:after="80"/>
        <w:numPr>
          <w:ilvl w:val="0"/>
          <w:numId w:val="32"/>
        </w:numPr>
      </w:pPr>
      <w:r>
        <w:rPr>
          <w:rFonts w:ascii="Calibri" w:hAnsi="Calibri"/>
          <w:color w:val="16181D"/>
          <w:sz w:val="21"/>
        </w:rPr>
        <w:t>Engineering Memory contains only validated and approved knowledge.</w:t>
      </w:r>
    </w:p>
    <w:p>
      <w:pPr>
        <w:spacing w:after="80"/>
        <w:numPr>
          <w:ilvl w:val="0"/>
          <w:numId w:val="33"/>
        </w:numPr>
      </w:pPr>
      <w:r>
        <w:rPr>
          <w:rFonts w:ascii="Calibri" w:hAnsi="Calibri"/>
          <w:color w:val="16181D"/>
          <w:sz w:val="21"/>
        </w:rPr>
        <w:t>Agents prepare work and stop at approval boundaries.</w:t>
      </w:r>
    </w:p>
    <w:p>
      <w:pPr>
        <w:spacing w:after="80"/>
        <w:numPr>
          <w:ilvl w:val="0"/>
          <w:numId w:val="34"/>
        </w:numPr>
      </w:pPr>
      <w:r>
        <w:rPr>
          <w:rFonts w:ascii="Calibri" w:hAnsi="Calibri"/>
          <w:color w:val="16181D"/>
          <w:sz w:val="21"/>
        </w:rPr>
        <w:t>Azure DevOps writes use preview, approval, revision protection,</w:t>
      </w:r>
    </w:p>
    <w:p>
      <w:pPr>
        <w:widowControl/>
      </w:pPr>
      <w:r>
        <w:rPr>
          <w:rFonts w:ascii="Calibri" w:hAnsi="Calibri"/>
          <w:color w:val="16181D"/>
          <w:sz w:val="22"/>
        </w:rPr>
        <w:t>idempotency, and audit.</w:t>
      </w:r>
    </w:p>
    <w:p>
      <w:pPr>
        <w:spacing w:after="80"/>
        <w:numPr>
          <w:ilvl w:val="0"/>
          <w:numId w:val="35"/>
        </w:numPr>
      </w:pPr>
      <w:r>
        <w:rPr>
          <w:rFonts w:ascii="Calibri" w:hAnsi="Calibri"/>
          <w:color w:val="16181D"/>
          <w:sz w:val="21"/>
        </w:rPr>
        <w:t>Every engineering decision remains explainable through evidence and</w:t>
      </w:r>
    </w:p>
    <w:p>
      <w:pPr>
        <w:widowControl/>
      </w:pPr>
      <w:r>
        <w:rPr>
          <w:rFonts w:ascii="Calibri" w:hAnsi="Calibri"/>
          <w:color w:val="16181D"/>
          <w:sz w:val="22"/>
        </w:rPr>
        <w:t>correlation lineage.</w:t>
      </w:r>
    </w:p>
    <w:p>
      <w:pPr>
        <w:pStyle w:val="Heading1"/>
      </w:pPr>
      <w:r>
        <w:t>Related Documentation</w:t>
      </w:r>
    </w:p>
    <w:p>
      <w:pPr>
        <w:pStyle w:val="ListBullet"/>
        <w:spacing w:after="80"/>
      </w:pPr>
      <w:r>
        <w:rPr>
          <w:rFonts w:ascii="Calibri" w:hAnsi="Calibri"/>
          <w:color w:val="16181D"/>
          <w:sz w:val="21"/>
        </w:rPr>
        <w:t>Product Vision (./00-Vision/Product%20Vision.md)</w:t>
      </w:r>
    </w:p>
    <w:p>
      <w:pPr>
        <w:pStyle w:val="ListBullet"/>
        <w:spacing w:after="80"/>
      </w:pPr>
      <w:r>
        <w:rPr>
          <w:rFonts w:ascii="Calibri" w:hAnsi="Calibri"/>
          <w:color w:val="16181D"/>
          <w:sz w:val="21"/>
        </w:rPr>
        <w:t>Platform Architecture (./01-Architecture/Platform%20Architecture.md)</w:t>
      </w:r>
    </w:p>
    <w:p>
      <w:pPr>
        <w:pStyle w:val="ListBullet"/>
        <w:spacing w:after="80"/>
      </w:pPr>
      <w:r>
        <w:rPr>
          <w:rFonts w:ascii="Calibri" w:hAnsi="Calibri"/>
          <w:color w:val="16181D"/>
          <w:sz w:val="21"/>
        </w:rPr>
        <w:t>Module Boundaries (./01-Architecture/Module%20Boundaries.md)</w:t>
      </w:r>
    </w:p>
    <w:p>
      <w:pPr>
        <w:pStyle w:val="ListBullet"/>
        <w:spacing w:after="80"/>
      </w:pPr>
      <w:r>
        <w:rPr>
          <w:rFonts w:ascii="Calibri" w:hAnsi="Calibri"/>
          <w:color w:val="16181D"/>
          <w:sz w:val="21"/>
        </w:rPr>
        <w:t>Engineering Intelligence Service (./01-Architecture/Engineering%20Intelligence%20Service.md)</w:t>
      </w:r>
    </w:p>
    <w:p>
      <w:pPr>
        <w:pStyle w:val="ListBullet"/>
        <w:spacing w:after="80"/>
      </w:pPr>
      <w:r>
        <w:rPr>
          <w:rFonts w:ascii="Calibri" w:hAnsi="Calibri"/>
          <w:color w:val="16181D"/>
          <w:sz w:val="21"/>
        </w:rPr>
        <w:t>AI Reasoning Governance (./01-Architecture/AI%20Reasoning%20Governance.md)</w:t>
      </w:r>
    </w:p>
    <w:p>
      <w:pPr>
        <w:pStyle w:val="ListBullet"/>
        <w:spacing w:after="80"/>
      </w:pPr>
      <w:r>
        <w:rPr>
          <w:rFonts w:ascii="Calibri" w:hAnsi="Calibri"/>
          <w:color w:val="16181D"/>
          <w:sz w:val="21"/>
        </w:rPr>
        <w:t>Requirement Planning Integration (./01-Architecture/Requirement%20Planning%20Integration.md)</w:t>
      </w:r>
    </w:p>
    <w:p>
      <w:pPr>
        <w:pStyle w:val="ListBullet"/>
        <w:spacing w:after="80"/>
      </w:pPr>
      <w:r>
        <w:rPr>
          <w:rFonts w:ascii="Calibri" w:hAnsi="Calibri"/>
          <w:color w:val="16181D"/>
          <w:sz w:val="21"/>
        </w:rPr>
        <w:t>Repository Intelligence (./01-Architecture/Repository%20Intelligence.md)</w:t>
      </w:r>
    </w:p>
    <w:p>
      <w:pPr>
        <w:pStyle w:val="ListBullet"/>
        <w:spacing w:after="80"/>
      </w:pPr>
      <w:r>
        <w:rPr>
          <w:rFonts w:ascii="Calibri" w:hAnsi="Calibri"/>
          <w:color w:val="16181D"/>
          <w:sz w:val="21"/>
        </w:rPr>
        <w:t>Context Intelligence (./01-Architecture/Context%20Intelligence.md)</w:t>
      </w:r>
    </w:p>
    <w:p>
      <w:pPr>
        <w:pStyle w:val="ListBullet"/>
        <w:spacing w:after="80"/>
      </w:pPr>
      <w:r>
        <w:rPr>
          <w:rFonts w:ascii="Calibri" w:hAnsi="Calibri"/>
          <w:color w:val="16181D"/>
          <w:sz w:val="21"/>
        </w:rPr>
        <w:t>Prompt Intelligence (./01-Architecture/Prompt%20Intelligence.md)</w:t>
      </w:r>
    </w:p>
    <w:p>
      <w:pPr>
        <w:pStyle w:val="ListBullet"/>
        <w:spacing w:after="80"/>
      </w:pPr>
      <w:r>
        <w:rPr>
          <w:rFonts w:ascii="Calibri" w:hAnsi="Calibri"/>
          <w:color w:val="16181D"/>
          <w:sz w:val="21"/>
        </w:rPr>
        <w:t>HEI Platform SDK (./architecture/hei-platform-sdk.md)</w:t>
      </w:r>
    </w:p>
    <w:p>
      <w:pPr>
        <w:pStyle w:val="ListBullet"/>
        <w:spacing w:after="80"/>
      </w:pPr>
      <w:r>
        <w:rPr>
          <w:rFonts w:ascii="Calibri" w:hAnsi="Calibri"/>
          <w:color w:val="16181D"/>
          <w:sz w:val="21"/>
        </w:rPr>
        <w:t>Azure DevOps Integration (./integrations/azure-devops-integration.md)</w:t>
      </w:r>
    </w:p>
    <w:p>
      <w:pPr>
        <w:pStyle w:val="ListBullet"/>
        <w:spacing w:after="80"/>
      </w:pPr>
      <w:r>
        <w:rPr>
          <w:rFonts w:ascii="Calibri" w:hAnsi="Calibri"/>
          <w:color w:val="16181D"/>
          <w:sz w:val="21"/>
        </w:rPr>
        <w:t>Platform Hardening (./testing/platform-hardening.md)</w:t>
      </w:r>
    </w:p>
    <w:p>
      <w:pPr>
        <w:pStyle w:val="ListBullet"/>
        <w:spacing w:after="80"/>
      </w:pPr>
      <w:r>
        <w:rPr>
          <w:rFonts w:ascii="Calibri" w:hAnsi="Calibri"/>
          <w:color w:val="16181D"/>
          <w:sz w:val="21"/>
        </w:rPr>
        <w:t>Command Center UI Guide (./07-Portal/Command%20Center%20UI%20Guide.md)</w:t>
      </w:r>
    </w:p>
    <w:p>
      <w:pPr>
        <w:pStyle w:val="Heading1"/>
      </w:pPr>
      <w:r>
        <w:t>Document Maintenance</w:t>
      </w:r>
    </w:p>
    <w:p>
      <w:pPr>
        <w:widowControl/>
      </w:pPr>
      <w:r>
        <w:rPr>
          <w:rFonts w:ascii="Calibri" w:hAnsi="Calibri"/>
          <w:color w:val="16181D"/>
          <w:sz w:val="22"/>
        </w:rPr>
        <w:t>Update this document when:</w:t>
      </w:r>
    </w:p>
    <w:p>
      <w:pPr>
        <w:pStyle w:val="ListBullet"/>
        <w:spacing w:after="80"/>
      </w:pPr>
      <w:r>
        <w:rPr>
          <w:rFonts w:ascii="Calibri" w:hAnsi="Calibri"/>
          <w:color w:val="16181D"/>
          <w:sz w:val="21"/>
        </w:rPr>
        <w:t>a canonical artifact or lifecycle stage changes;</w:t>
      </w:r>
    </w:p>
    <w:p>
      <w:pPr>
        <w:pStyle w:val="ListBullet"/>
        <w:spacing w:after="80"/>
      </w:pPr>
      <w:r>
        <w:rPr>
          <w:rFonts w:ascii="Calibri" w:hAnsi="Calibri"/>
          <w:color w:val="16181D"/>
          <w:sz w:val="21"/>
        </w:rPr>
        <w:t>a subsystem moves from planned to implemented or integrated;</w:t>
      </w:r>
    </w:p>
    <w:p>
      <w:pPr>
        <w:pStyle w:val="ListBullet"/>
        <w:spacing w:after="80"/>
      </w:pPr>
      <w:r>
        <w:rPr>
          <w:rFonts w:ascii="Calibri" w:hAnsi="Calibri"/>
          <w:color w:val="16181D"/>
          <w:sz w:val="21"/>
        </w:rPr>
        <w:t>a compatibility route is deprecated;</w:t>
      </w:r>
    </w:p>
    <w:p>
      <w:pPr>
        <w:pStyle w:val="ListBullet"/>
        <w:spacing w:after="80"/>
      </w:pPr>
      <w:r>
        <w:rPr>
          <w:rFonts w:ascii="Calibri" w:hAnsi="Calibri"/>
          <w:color w:val="16181D"/>
          <w:sz w:val="21"/>
        </w:rPr>
        <w:t>persistence or deployment architecture changes;</w:t>
      </w:r>
    </w:p>
    <w:p>
      <w:pPr>
        <w:pStyle w:val="ListBullet"/>
        <w:spacing w:after="80"/>
      </w:pPr>
      <w:r>
        <w:rPr>
          <w:rFonts w:ascii="Calibri" w:hAnsi="Calibri"/>
          <w:color w:val="16181D"/>
          <w:sz w:val="21"/>
        </w:rPr>
        <w:t>a new experience surface or enterprise integration is introduced; or</w:t>
      </w:r>
    </w:p>
    <w:p>
      <w:pPr>
        <w:pStyle w:val="ListBullet"/>
        <w:spacing w:after="80"/>
      </w:pPr>
      <w:r>
        <w:rPr>
          <w:rFonts w:ascii="Calibri" w:hAnsi="Calibri"/>
          <w:color w:val="16181D"/>
          <w:sz w:val="21"/>
        </w:rPr>
        <w:t>an architectural guardrail changes through an approved ADR.</w:t>
      </w:r>
    </w:p>
    <w:p>
      <w:pPr>
        <w:pStyle w:val="Heading1"/>
      </w:pPr>
      <w:r>
        <w:t>Architecture Review Checklist</w:t>
      </w:r>
    </w:p>
    <w:p>
      <w:pPr>
        <w:pStyle w:val="ListBullet"/>
        <w:spacing w:after="120"/>
      </w:pPr>
      <w:r>
        <w:rPr>
          <w:rFonts w:ascii="Calibri" w:hAnsi="Calibri"/>
          <w:color w:val="16181D"/>
          <w:sz w:val="21"/>
        </w:rPr>
        <w:t>All downstream execution begins from an approved, versioned artifact.</w:t>
      </w:r>
    </w:p>
    <w:p>
      <w:pPr>
        <w:pStyle w:val="ListBullet"/>
        <w:spacing w:after="120"/>
      </w:pPr>
      <w:r>
        <w:rPr>
          <w:rFonts w:ascii="Calibri" w:hAnsi="Calibri"/>
          <w:color w:val="16181D"/>
          <w:sz w:val="21"/>
        </w:rPr>
        <w:t>Repository evidence is never invented when ranking is unavailable.</w:t>
      </w:r>
    </w:p>
    <w:p>
      <w:pPr>
        <w:pStyle w:val="ListBullet"/>
        <w:spacing w:after="120"/>
      </w:pPr>
      <w:r>
        <w:rPr>
          <w:rFonts w:ascii="Calibri" w:hAnsi="Calibri"/>
          <w:color w:val="16181D"/>
          <w:sz w:val="21"/>
        </w:rPr>
        <w:t>AI suggestions remain distinguishable from source-derived requirements.</w:t>
      </w:r>
    </w:p>
    <w:p>
      <w:pPr>
        <w:pStyle w:val="ListBullet"/>
        <w:spacing w:after="120"/>
      </w:pPr>
      <w:r>
        <w:rPr>
          <w:rFonts w:ascii="Calibri" w:hAnsi="Calibri"/>
          <w:color w:val="16181D"/>
          <w:sz w:val="21"/>
        </w:rPr>
        <w:t>Every Azure DevOps write has preview, approval, permission, revision, idempotency, and audit controls.</w:t>
      </w:r>
    </w:p>
    <w:p>
      <w:pPr>
        <w:pStyle w:val="ListBullet"/>
        <w:spacing w:after="120"/>
      </w:pPr>
      <w:r>
        <w:rPr>
          <w:rFonts w:ascii="Calibri" w:hAnsi="Calibri"/>
          <w:color w:val="16181D"/>
          <w:sz w:val="21"/>
        </w:rPr>
        <w:t>Provider failures degrade to deterministic behavior where supported.</w:t>
      </w:r>
    </w:p>
    <w:p>
      <w:pPr>
        <w:pStyle w:val="ListBullet"/>
        <w:spacing w:after="120"/>
      </w:pPr>
      <w:r>
        <w:rPr>
          <w:rFonts w:ascii="Calibri" w:hAnsi="Calibri"/>
          <w:color w:val="16181D"/>
          <w:sz w:val="21"/>
        </w:rPr>
        <w:t>Correlation, evidence, confidence, versions, and rejection history remain traceable.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DC"/>
          </w:tcPr>
          <w:p>
            <w:pPr>
              <w:spacing w:after="40"/>
            </w:pPr>
            <w:r>
              <w:rPr>
                <w:rFonts w:ascii="Calibri" w:hAnsi="Calibri"/>
                <w:b/>
                <w:color w:val="FFD400"/>
                <w:sz w:val="18"/>
              </w:rPr>
              <w:t>MAINTENANCE</w:t>
            </w:r>
          </w:p>
          <w:p>
            <w:pPr>
              <w:spacing w:after="0"/>
            </w:pPr>
            <w:r>
              <w:rPr>
                <w:rFonts w:ascii="Calibri" w:hAnsi="Calibri"/>
                <w:b/>
                <w:color w:val="16181D"/>
                <w:sz w:val="22"/>
              </w:rPr>
              <w:t>Update this document when canonical terminology, public contracts, storage topology, approval gates, or module ownership changes.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HEI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FFD400"/>
        <w:sz w:val="18"/>
      </w:rPr>
      <w:t>HEI</w:t>
    </w:r>
    <w:r>
      <w:rPr>
        <w:rFonts w:ascii="Calibri" w:hAnsi="Calibri"/>
        <w:b/>
        <w:color w:val="667085"/>
        <w:sz w:val="18"/>
      </w:rPr>
      <w:t xml:space="preserve">  |  APPLICATION ARCHITECTURE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tabs>
          <w:tab w:val="num" w:pos="720"/>
        </w:tabs>
        <w:ind w:left="720" w:hanging="360"/>
      </w:pPr>
    </w:lvl>
  </w:abstractNum>
  <w:num w:numId="10">
    <w:abstractNumId w:val="9"/>
  </w:num>
  <w:abstractNum w:abstractNumId="10">
    <w:lvl w:ilvl="0">
      <w:start w:val="2"/>
      <w:numFmt w:val="decimal"/>
      <w:lvlText w:val="%1."/>
      <w:lvlJc w:val="left"/>
      <w:pPr>
        <w:tabs>
          <w:tab w:val="num" w:pos="720"/>
        </w:tabs>
        <w:ind w:left="720" w:hanging="360"/>
      </w:pPr>
    </w:lvl>
  </w:abstractNum>
  <w:num w:numId="11">
    <w:abstractNumId w:val="10"/>
  </w:num>
  <w:abstractNum w:abstractNumId="11">
    <w:lvl w:ilvl="0">
      <w:start w:val="3"/>
      <w:numFmt w:val="decimal"/>
      <w:lvlText w:val="%1."/>
      <w:lvlJc w:val="left"/>
      <w:pPr>
        <w:tabs>
          <w:tab w:val="num" w:pos="720"/>
        </w:tabs>
        <w:ind w:left="720" w:hanging="360"/>
      </w:pPr>
    </w:lvl>
  </w:abstractNum>
  <w:num w:numId="12">
    <w:abstractNumId w:val="11"/>
  </w:num>
  <w:abstractNum w:abstractNumId="12">
    <w:lvl w:ilvl="0">
      <w:start w:val="4"/>
      <w:numFmt w:val="decimal"/>
      <w:lvlText w:val="%1."/>
      <w:lvlJc w:val="left"/>
      <w:pPr>
        <w:tabs>
          <w:tab w:val="num" w:pos="720"/>
        </w:tabs>
        <w:ind w:left="720" w:hanging="360"/>
      </w:pPr>
    </w:lvl>
  </w:abstractNum>
  <w:num w:numId="13">
    <w:abstractNumId w:val="12"/>
  </w:num>
  <w:abstractNum w:abstractNumId="13">
    <w:lvl w:ilvl="0">
      <w:start w:val="5"/>
      <w:numFmt w:val="decimal"/>
      <w:lvlText w:val="%1."/>
      <w:lvlJc w:val="left"/>
      <w:pPr>
        <w:tabs>
          <w:tab w:val="num" w:pos="720"/>
        </w:tabs>
        <w:ind w:left="720" w:hanging="360"/>
      </w:pPr>
    </w:lvl>
  </w:abstractNum>
  <w:num w:numId="14">
    <w:abstractNumId w:val="13"/>
  </w:num>
  <w:abstractNum w:abstractNumId="14">
    <w:lvl w:ilvl="0">
      <w:start w:val="1"/>
      <w:numFmt w:val="decimal"/>
      <w:lvlText w:val="%1."/>
      <w:lvlJc w:val="left"/>
      <w:pPr>
        <w:tabs>
          <w:tab w:val="num" w:pos="720"/>
        </w:tabs>
        <w:ind w:left="720" w:hanging="360"/>
      </w:pPr>
    </w:lvl>
  </w:abstractNum>
  <w:num w:numId="15">
    <w:abstractNumId w:val="14"/>
  </w:num>
  <w:abstractNum w:abstractNumId="15">
    <w:lvl w:ilvl="0">
      <w:start w:val="2"/>
      <w:numFmt w:val="decimal"/>
      <w:lvlText w:val="%1."/>
      <w:lvlJc w:val="left"/>
      <w:pPr>
        <w:tabs>
          <w:tab w:val="num" w:pos="720"/>
        </w:tabs>
        <w:ind w:left="720" w:hanging="360"/>
      </w:pPr>
    </w:lvl>
  </w:abstractNum>
  <w:num w:numId="16">
    <w:abstractNumId w:val="15"/>
  </w:num>
  <w:abstractNum w:abstractNumId="16">
    <w:lvl w:ilvl="0">
      <w:start w:val="3"/>
      <w:numFmt w:val="decimal"/>
      <w:lvlText w:val="%1."/>
      <w:lvlJc w:val="left"/>
      <w:pPr>
        <w:tabs>
          <w:tab w:val="num" w:pos="720"/>
        </w:tabs>
        <w:ind w:left="720" w:hanging="360"/>
      </w:pPr>
    </w:lvl>
  </w:abstractNum>
  <w:num w:numId="17">
    <w:abstractNumId w:val="16"/>
  </w:num>
  <w:abstractNum w:abstractNumId="17">
    <w:lvl w:ilvl="0">
      <w:start w:val="4"/>
      <w:numFmt w:val="decimal"/>
      <w:lvlText w:val="%1."/>
      <w:lvlJc w:val="left"/>
      <w:pPr>
        <w:tabs>
          <w:tab w:val="num" w:pos="720"/>
        </w:tabs>
        <w:ind w:left="720" w:hanging="360"/>
      </w:pPr>
    </w:lvl>
  </w:abstractNum>
  <w:num w:numId="18">
    <w:abstractNumId w:val="17"/>
  </w:num>
  <w:abstractNum w:abstractNumId="18">
    <w:lvl w:ilvl="0">
      <w:start w:val="5"/>
      <w:numFmt w:val="decimal"/>
      <w:lvlText w:val="%1."/>
      <w:lvlJc w:val="left"/>
      <w:pPr>
        <w:tabs>
          <w:tab w:val="num" w:pos="720"/>
        </w:tabs>
        <w:ind w:left="720" w:hanging="360"/>
      </w:pPr>
    </w:lvl>
  </w:abstractNum>
  <w:num w:numId="19">
    <w:abstractNumId w:val="18"/>
  </w:num>
  <w:abstractNum w:abstractNumId="19">
    <w:lvl w:ilvl="0">
      <w:start w:val="6"/>
      <w:numFmt w:val="decimal"/>
      <w:lvlText w:val="%1."/>
      <w:lvlJc w:val="left"/>
      <w:pPr>
        <w:tabs>
          <w:tab w:val="num" w:pos="720"/>
        </w:tabs>
        <w:ind w:left="720" w:hanging="360"/>
      </w:pPr>
    </w:lvl>
  </w:abstractNum>
  <w:num w:numId="20">
    <w:abstractNumId w:val="19"/>
  </w:num>
  <w:abstractNum w:abstractNumId="20">
    <w:lvl w:ilvl="0">
      <w:start w:val="7"/>
      <w:numFmt w:val="decimal"/>
      <w:lvlText w:val="%1."/>
      <w:lvlJc w:val="left"/>
      <w:pPr>
        <w:tabs>
          <w:tab w:val="num" w:pos="720"/>
        </w:tabs>
        <w:ind w:left="720" w:hanging="360"/>
      </w:pPr>
    </w:lvl>
  </w:abstractNum>
  <w:num w:numId="21">
    <w:abstractNumId w:val="20"/>
  </w:num>
  <w:abstractNum w:abstractNumId="21">
    <w:lvl w:ilvl="0">
      <w:start w:val="8"/>
      <w:numFmt w:val="decimal"/>
      <w:lvlText w:val="%1."/>
      <w:lvlJc w:val="left"/>
      <w:pPr>
        <w:tabs>
          <w:tab w:val="num" w:pos="720"/>
        </w:tabs>
        <w:ind w:left="720" w:hanging="360"/>
      </w:pPr>
    </w:lvl>
  </w:abstractNum>
  <w:num w:numId="22">
    <w:abstractNumId w:val="21"/>
  </w:num>
  <w:abstractNum w:abstractNumId="22">
    <w:lvl w:ilvl="0">
      <w:start w:val="9"/>
      <w:numFmt w:val="decimal"/>
      <w:lvlText w:val="%1."/>
      <w:lvlJc w:val="left"/>
      <w:pPr>
        <w:tabs>
          <w:tab w:val="num" w:pos="720"/>
        </w:tabs>
        <w:ind w:left="720" w:hanging="360"/>
      </w:pPr>
    </w:lvl>
  </w:abstractNum>
  <w:num w:numId="23">
    <w:abstractNumId w:val="22"/>
  </w:num>
  <w:abstractNum w:abstractNumId="23">
    <w:lvl w:ilvl="0">
      <w:start w:val="1"/>
      <w:numFmt w:val="decimal"/>
      <w:lvlText w:val="%1."/>
      <w:lvlJc w:val="left"/>
      <w:pPr>
        <w:tabs>
          <w:tab w:val="num" w:pos="720"/>
        </w:tabs>
        <w:ind w:left="720" w:hanging="360"/>
      </w:pPr>
    </w:lvl>
  </w:abstractNum>
  <w:num w:numId="24">
    <w:abstractNumId w:val="23"/>
  </w:num>
  <w:abstractNum w:abstractNumId="24">
    <w:lvl w:ilvl="0">
      <w:start w:val="2"/>
      <w:numFmt w:val="decimal"/>
      <w:lvlText w:val="%1."/>
      <w:lvlJc w:val="left"/>
      <w:pPr>
        <w:tabs>
          <w:tab w:val="num" w:pos="720"/>
        </w:tabs>
        <w:ind w:left="720" w:hanging="360"/>
      </w:pPr>
    </w:lvl>
  </w:abstractNum>
  <w:num w:numId="25">
    <w:abstractNumId w:val="24"/>
  </w:num>
  <w:abstractNum w:abstractNumId="25">
    <w:lvl w:ilvl="0">
      <w:start w:val="3"/>
      <w:numFmt w:val="decimal"/>
      <w:lvlText w:val="%1."/>
      <w:lvlJc w:val="left"/>
      <w:pPr>
        <w:tabs>
          <w:tab w:val="num" w:pos="720"/>
        </w:tabs>
        <w:ind w:left="720" w:hanging="360"/>
      </w:pPr>
    </w:lvl>
  </w:abstractNum>
  <w:num w:numId="26">
    <w:abstractNumId w:val="25"/>
  </w:num>
  <w:abstractNum w:abstractNumId="26">
    <w:lvl w:ilvl="0">
      <w:start w:val="4"/>
      <w:numFmt w:val="decimal"/>
      <w:lvlText w:val="%1."/>
      <w:lvlJc w:val="left"/>
      <w:pPr>
        <w:tabs>
          <w:tab w:val="num" w:pos="720"/>
        </w:tabs>
        <w:ind w:left="720" w:hanging="360"/>
      </w:pPr>
    </w:lvl>
  </w:abstractNum>
  <w:num w:numId="27">
    <w:abstractNumId w:val="26"/>
  </w:num>
  <w:abstractNum w:abstractNumId="27">
    <w:lvl w:ilvl="0">
      <w:start w:val="5"/>
      <w:numFmt w:val="decimal"/>
      <w:lvlText w:val="%1."/>
      <w:lvlJc w:val="left"/>
      <w:pPr>
        <w:tabs>
          <w:tab w:val="num" w:pos="720"/>
        </w:tabs>
        <w:ind w:left="720" w:hanging="360"/>
      </w:pPr>
    </w:lvl>
  </w:abstractNum>
  <w:num w:numId="28">
    <w:abstractNumId w:val="27"/>
  </w:num>
  <w:abstractNum w:abstractNumId="28">
    <w:lvl w:ilvl="0">
      <w:start w:val="6"/>
      <w:numFmt w:val="decimal"/>
      <w:lvlText w:val="%1."/>
      <w:lvlJc w:val="left"/>
      <w:pPr>
        <w:tabs>
          <w:tab w:val="num" w:pos="720"/>
        </w:tabs>
        <w:ind w:left="720" w:hanging="360"/>
      </w:pPr>
    </w:lvl>
  </w:abstractNum>
  <w:num w:numId="29">
    <w:abstractNumId w:val="28"/>
  </w:num>
  <w:abstractNum w:abstractNumId="29">
    <w:lvl w:ilvl="0">
      <w:start w:val="7"/>
      <w:numFmt w:val="decimal"/>
      <w:lvlText w:val="%1."/>
      <w:lvlJc w:val="left"/>
      <w:pPr>
        <w:tabs>
          <w:tab w:val="num" w:pos="720"/>
        </w:tabs>
        <w:ind w:left="720" w:hanging="360"/>
      </w:pPr>
    </w:lvl>
  </w:abstractNum>
  <w:num w:numId="30">
    <w:abstractNumId w:val="29"/>
  </w:num>
  <w:abstractNum w:abstractNumId="30">
    <w:lvl w:ilvl="0">
      <w:start w:val="8"/>
      <w:numFmt w:val="decimal"/>
      <w:lvlText w:val="%1."/>
      <w:lvlJc w:val="left"/>
      <w:pPr>
        <w:tabs>
          <w:tab w:val="num" w:pos="720"/>
        </w:tabs>
        <w:ind w:left="720" w:hanging="360"/>
      </w:pPr>
    </w:lvl>
  </w:abstractNum>
  <w:num w:numId="31">
    <w:abstractNumId w:val="30"/>
  </w:num>
  <w:abstractNum w:abstractNumId="31">
    <w:lvl w:ilvl="0">
      <w:start w:val="9"/>
      <w:numFmt w:val="decimal"/>
      <w:lvlText w:val="%1."/>
      <w:lvlJc w:val="left"/>
      <w:pPr>
        <w:tabs>
          <w:tab w:val="num" w:pos="720"/>
        </w:tabs>
        <w:ind w:left="720" w:hanging="360"/>
      </w:pPr>
    </w:lvl>
  </w:abstractNum>
  <w:num w:numId="32">
    <w:abstractNumId w:val="31"/>
  </w:num>
  <w:abstractNum w:abstractNumId="32">
    <w:lvl w:ilvl="0">
      <w:start w:val="10"/>
      <w:numFmt w:val="decimal"/>
      <w:lvlText w:val="%1."/>
      <w:lvlJc w:val="left"/>
      <w:pPr>
        <w:tabs>
          <w:tab w:val="num" w:pos="720"/>
        </w:tabs>
        <w:ind w:left="720" w:hanging="360"/>
      </w:pPr>
    </w:lvl>
  </w:abstractNum>
  <w:num w:numId="33">
    <w:abstractNumId w:val="32"/>
  </w:num>
  <w:abstractNum w:abstractNumId="33">
    <w:lvl w:ilvl="0">
      <w:start w:val="11"/>
      <w:numFmt w:val="decimal"/>
      <w:lvlText w:val="%1."/>
      <w:lvlJc w:val="left"/>
      <w:pPr>
        <w:tabs>
          <w:tab w:val="num" w:pos="720"/>
        </w:tabs>
        <w:ind w:left="720" w:hanging="360"/>
      </w:pPr>
    </w:lvl>
  </w:abstractNum>
  <w:num w:numId="34">
    <w:abstractNumId w:val="33"/>
  </w:num>
  <w:abstractNum w:abstractNumId="34">
    <w:lvl w:ilvl="0">
      <w:start w:val="12"/>
      <w:numFmt w:val="decimal"/>
      <w:lvlText w:val="%1."/>
      <w:lvlJc w:val="left"/>
      <w:pPr>
        <w:tabs>
          <w:tab w:val="num" w:pos="720"/>
        </w:tabs>
        <w:ind w:left="720" w:hanging="360"/>
      </w:pPr>
    </w:lvl>
  </w:abstract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618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6181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181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18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18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 Application Implementation, Scope, Architecture, and Roadmap</dc:title>
  <dc:subject>HEI Engineering Platform architecture and implementation reference</dc:subject>
  <dc:creator>HEI Engineering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