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1DB7" w:rsidRPr="007D1DB7" w:rsidRDefault="007D1DB7">
      <w:pPr>
        <w:rPr>
          <w:b/>
          <w:bCs/>
        </w:rPr>
      </w:pPr>
      <w:r w:rsidRPr="007D1DB7">
        <w:rPr>
          <w:b/>
          <w:bCs/>
        </w:rPr>
        <w:t>12</w:t>
      </w:r>
      <w:r w:rsidRPr="007D1DB7">
        <w:rPr>
          <w:b/>
          <w:bCs/>
          <w:vertAlign w:val="superscript"/>
        </w:rPr>
        <w:t>th</w:t>
      </w:r>
      <w:r w:rsidRPr="007D1DB7">
        <w:rPr>
          <w:b/>
          <w:bCs/>
        </w:rPr>
        <w:t xml:space="preserve"> Week Assignment</w:t>
      </w:r>
    </w:p>
    <w:p w:rsidR="007D1DB7" w:rsidRDefault="007D1DB7" w:rsidP="007D1DB7">
      <w:pPr>
        <w:pStyle w:val="ListParagraph"/>
        <w:numPr>
          <w:ilvl w:val="0"/>
          <w:numId w:val="2"/>
        </w:numPr>
        <w:jc w:val="both"/>
      </w:pPr>
      <w:r>
        <w:t xml:space="preserve">Should we include cash for a firm while calculating working capital? What are the common reasons for the inclusion or exclusion? </w:t>
      </w:r>
    </w:p>
    <w:p w:rsidR="007D1DB7" w:rsidRDefault="007D1DB7" w:rsidP="007D1DB7">
      <w:pPr>
        <w:pStyle w:val="ListParagraph"/>
        <w:numPr>
          <w:ilvl w:val="0"/>
          <w:numId w:val="2"/>
        </w:numPr>
        <w:jc w:val="both"/>
      </w:pPr>
      <w:r>
        <w:t xml:space="preserve">Given the data on two companies – </w:t>
      </w:r>
      <w:proofErr w:type="spellStart"/>
      <w:r>
        <w:t>Provogue</w:t>
      </w:r>
      <w:proofErr w:type="spellEnd"/>
      <w:r>
        <w:t xml:space="preserve"> and </w:t>
      </w:r>
      <w:proofErr w:type="spellStart"/>
      <w:r>
        <w:t>Kewal</w:t>
      </w:r>
      <w:proofErr w:type="spellEnd"/>
      <w:r>
        <w:t xml:space="preserve"> Kiran, which one do you think is better managed? Why?</w:t>
      </w:r>
    </w:p>
    <w:p w:rsidR="007D1DB7" w:rsidRDefault="007D1DB7" w:rsidP="007D1DB7">
      <w:pPr>
        <w:ind w:left="360"/>
        <w:jc w:val="both"/>
      </w:pPr>
      <w:r w:rsidRPr="00AA34C5">
        <w:rPr>
          <w:noProof/>
          <w:lang w:eastAsia="en-IN"/>
        </w:rPr>
        <w:drawing>
          <wp:inline distT="0" distB="0" distL="0" distR="0" wp14:anchorId="2119CEA3" wp14:editId="7619188E">
            <wp:extent cx="5153025" cy="1701837"/>
            <wp:effectExtent l="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291" cy="170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B7" w:rsidRDefault="007D1DB7" w:rsidP="007D1DB7">
      <w:pPr>
        <w:pStyle w:val="ListParagraph"/>
        <w:numPr>
          <w:ilvl w:val="0"/>
          <w:numId w:val="2"/>
        </w:numPr>
        <w:jc w:val="both"/>
      </w:pPr>
      <w:r>
        <w:t>Explain how significant jumps or dips in working capital may be a symptom of trouble for the firm.</w:t>
      </w:r>
    </w:p>
    <w:sectPr w:rsidR="007D1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D4D3D"/>
    <w:multiLevelType w:val="hybridMultilevel"/>
    <w:tmpl w:val="97E6C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3046C"/>
    <w:multiLevelType w:val="hybridMultilevel"/>
    <w:tmpl w:val="6C50A240"/>
    <w:lvl w:ilvl="0" w:tplc="F18AE86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693995589">
    <w:abstractNumId w:val="1"/>
  </w:num>
  <w:num w:numId="2" w16cid:durableId="1834178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B7"/>
    <w:rsid w:val="007D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1BCA"/>
  <w15:chartTrackingRefBased/>
  <w15:docId w15:val="{7F494840-B37F-422D-96A9-8FEE21D9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2023-04-24T06:41:00Z</dcterms:created>
  <dcterms:modified xsi:type="dcterms:W3CDTF">2023-04-24T06:44:00Z</dcterms:modified>
</cp:coreProperties>
</file>