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2E" w:rsidRPr="004818EE" w:rsidRDefault="004818EE" w:rsidP="00481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18EE">
        <w:rPr>
          <w:rFonts w:ascii="Times New Roman" w:hAnsi="Times New Roman" w:cs="Times New Roman"/>
          <w:sz w:val="24"/>
          <w:szCs w:val="24"/>
        </w:rPr>
        <w:t>ASSIGNMENT 3</w:t>
      </w:r>
    </w:p>
    <w:p w:rsidR="004818EE" w:rsidRPr="004818EE" w:rsidRDefault="004818EE" w:rsidP="004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8EE">
        <w:rPr>
          <w:rFonts w:ascii="Times New Roman" w:hAnsi="Times New Roman" w:cs="Times New Roman"/>
          <w:sz w:val="24"/>
          <w:szCs w:val="24"/>
        </w:rPr>
        <w:t>Framework of GST as introduced in India.</w:t>
      </w:r>
    </w:p>
    <w:p w:rsidR="004818EE" w:rsidRPr="004818EE" w:rsidRDefault="004818EE" w:rsidP="004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18EE">
        <w:rPr>
          <w:rFonts w:ascii="Times New Roman" w:hAnsi="Times New Roman" w:cs="Times New Roman"/>
          <w:sz w:val="24"/>
          <w:szCs w:val="24"/>
        </w:rPr>
        <w:t>Explain the salient features of GST common portal</w:t>
      </w:r>
    </w:p>
    <w:p w:rsidR="004818EE" w:rsidRPr="004818EE" w:rsidRDefault="004818EE" w:rsidP="0048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818EE">
        <w:rPr>
          <w:rFonts w:ascii="Times New Roman" w:hAnsi="Times New Roman" w:cs="Times New Roman"/>
          <w:sz w:val="24"/>
          <w:szCs w:val="24"/>
        </w:rPr>
        <w:t xml:space="preserve">Benefits of GST. </w:t>
      </w:r>
      <w:bookmarkEnd w:id="0"/>
    </w:p>
    <w:sectPr w:rsidR="004818EE" w:rsidRPr="0048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1360A"/>
    <w:multiLevelType w:val="hybridMultilevel"/>
    <w:tmpl w:val="FAF4F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E5"/>
    <w:rsid w:val="004818EE"/>
    <w:rsid w:val="006F7EE5"/>
    <w:rsid w:val="00C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C2719-F961-4C21-8B5F-468C8DA9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2023-09-02T04:41:00Z</dcterms:created>
  <dcterms:modified xsi:type="dcterms:W3CDTF">2023-09-02T04:46:00Z</dcterms:modified>
</cp:coreProperties>
</file>