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6E6" w:rsidRPr="00DA6D3D" w:rsidRDefault="00DA6D3D" w:rsidP="00DA6D3D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D3D">
        <w:rPr>
          <w:rFonts w:ascii="Times New Roman" w:hAnsi="Times New Roman" w:cs="Times New Roman"/>
          <w:sz w:val="24"/>
          <w:szCs w:val="24"/>
        </w:rPr>
        <w:t>ASSIGNMENT 4</w:t>
      </w:r>
    </w:p>
    <w:p w:rsidR="00DA6D3D" w:rsidRPr="00DA6D3D" w:rsidRDefault="00DA6D3D" w:rsidP="00DA6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6D3D">
        <w:rPr>
          <w:rFonts w:ascii="Times New Roman" w:hAnsi="Times New Roman" w:cs="Times New Roman"/>
          <w:sz w:val="24"/>
          <w:szCs w:val="24"/>
        </w:rPr>
        <w:t>Relevant definitions in supply under GST.</w:t>
      </w:r>
    </w:p>
    <w:p w:rsidR="00DA6D3D" w:rsidRPr="00DA6D3D" w:rsidRDefault="00DA6D3D" w:rsidP="00DA6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6D3D">
        <w:rPr>
          <w:rFonts w:ascii="Times New Roman" w:hAnsi="Times New Roman" w:cs="Times New Roman"/>
          <w:sz w:val="24"/>
          <w:szCs w:val="24"/>
        </w:rPr>
        <w:t>Concept of supply (section 7 CGST Act).</w:t>
      </w:r>
    </w:p>
    <w:p w:rsidR="00DA6D3D" w:rsidRPr="00DA6D3D" w:rsidRDefault="00DA6D3D" w:rsidP="00DA6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A6D3D">
        <w:rPr>
          <w:rFonts w:ascii="Times New Roman" w:hAnsi="Times New Roman" w:cs="Times New Roman"/>
          <w:sz w:val="24"/>
          <w:szCs w:val="24"/>
        </w:rPr>
        <w:t>Composite and mixed supplies (section 8).</w:t>
      </w:r>
    </w:p>
    <w:sectPr w:rsidR="00DA6D3D" w:rsidRPr="00DA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C5B08"/>
    <w:multiLevelType w:val="hybridMultilevel"/>
    <w:tmpl w:val="6A0CA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73"/>
    <w:rsid w:val="00DA6D3D"/>
    <w:rsid w:val="00FA6C73"/>
    <w:rsid w:val="00FB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83DBE-214D-4219-8BF8-B9D2B35E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2023-09-02T04:46:00Z</dcterms:created>
  <dcterms:modified xsi:type="dcterms:W3CDTF">2023-09-02T04:52:00Z</dcterms:modified>
</cp:coreProperties>
</file>