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04B0" w:rsidRDefault="009404B0">
      <w:r>
        <w:t xml:space="preserve">Week – 7 </w:t>
      </w:r>
    </w:p>
    <w:p w:rsidR="00851C40" w:rsidRDefault="002E1F10">
      <w:r>
        <w:t xml:space="preserve">1. </w:t>
      </w:r>
      <w:r w:rsidR="00851C40">
        <w:t xml:space="preserve">For what kind of companies would you use FCFE? </w:t>
      </w:r>
    </w:p>
    <w:p w:rsidR="002E1F10" w:rsidRDefault="002E1F10">
      <w:r>
        <w:t>2. Explain why the government bond yield is taken as the risk-free rate</w:t>
      </w:r>
    </w:p>
    <w:p w:rsidR="00851C40" w:rsidRDefault="00851C40">
      <w:r>
        <w:t>3. If you were to project the cash flows for any company, what would be the most important parts of doing this?</w:t>
      </w:r>
    </w:p>
    <w:sectPr w:rsidR="00851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10"/>
    <w:rsid w:val="002E1F10"/>
    <w:rsid w:val="00851C40"/>
    <w:rsid w:val="0094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29A8"/>
  <w15:chartTrackingRefBased/>
  <w15:docId w15:val="{923C03D2-870B-48AC-9C85-7E27F8B2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3</cp:revision>
  <dcterms:created xsi:type="dcterms:W3CDTF">2023-04-04T06:55:00Z</dcterms:created>
  <dcterms:modified xsi:type="dcterms:W3CDTF">2023-04-04T07:02:00Z</dcterms:modified>
</cp:coreProperties>
</file>