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BF" w:rsidRPr="00941A49" w:rsidRDefault="005B0D28" w:rsidP="005B0D28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A49">
        <w:rPr>
          <w:rFonts w:ascii="Times New Roman" w:hAnsi="Times New Roman" w:cs="Times New Roman"/>
          <w:sz w:val="24"/>
          <w:szCs w:val="24"/>
        </w:rPr>
        <w:t>ASSIGNMENT 1</w:t>
      </w:r>
    </w:p>
    <w:p w:rsidR="005B0D28" w:rsidRPr="00941A49" w:rsidRDefault="005B0D28" w:rsidP="005B0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A49">
        <w:rPr>
          <w:rFonts w:ascii="Times New Roman" w:hAnsi="Times New Roman" w:cs="Times New Roman"/>
          <w:sz w:val="24"/>
          <w:szCs w:val="24"/>
        </w:rPr>
        <w:t>Explain the background of GST</w:t>
      </w:r>
    </w:p>
    <w:p w:rsidR="005B0D28" w:rsidRPr="00941A49" w:rsidRDefault="005B0D28" w:rsidP="005B0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A49">
        <w:rPr>
          <w:rFonts w:ascii="Times New Roman" w:hAnsi="Times New Roman" w:cs="Times New Roman"/>
          <w:sz w:val="24"/>
          <w:szCs w:val="24"/>
        </w:rPr>
        <w:t>Differentiate between direct and indirect taxes</w:t>
      </w:r>
    </w:p>
    <w:p w:rsidR="005B0D28" w:rsidRPr="00941A49" w:rsidRDefault="005B0D28" w:rsidP="005B0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A49">
        <w:rPr>
          <w:rFonts w:ascii="Times New Roman" w:hAnsi="Times New Roman" w:cs="Times New Roman"/>
          <w:sz w:val="24"/>
          <w:szCs w:val="24"/>
        </w:rPr>
        <w:t>Features of indirect taxes.</w:t>
      </w:r>
      <w:bookmarkStart w:id="0" w:name="_GoBack"/>
      <w:bookmarkEnd w:id="0"/>
    </w:p>
    <w:sectPr w:rsidR="005B0D28" w:rsidRPr="0094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340EA"/>
    <w:multiLevelType w:val="hybridMultilevel"/>
    <w:tmpl w:val="FBF8F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71"/>
    <w:rsid w:val="005B0D28"/>
    <w:rsid w:val="00941A49"/>
    <w:rsid w:val="00AE5171"/>
    <w:rsid w:val="00F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151FB-0B86-4203-BD36-EA20A9B2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2023-09-02T04:31:00Z</dcterms:created>
  <dcterms:modified xsi:type="dcterms:W3CDTF">2023-09-02T04:37:00Z</dcterms:modified>
</cp:coreProperties>
</file>