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0F" w:rsidRDefault="00A55D0F" w:rsidP="00A55D0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4</w:t>
      </w:r>
    </w:p>
    <w:p w:rsidR="00A55D0F" w:rsidRDefault="00A55D0F" w:rsidP="00A55D0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5D0F" w:rsidRPr="007E6EF6" w:rsidRDefault="00A55D0F" w:rsidP="00A55D0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A55D0F" w:rsidRDefault="00A55D0F" w:rsidP="00A55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C44">
        <w:rPr>
          <w:rFonts w:ascii="Times New Roman" w:hAnsi="Times New Roman" w:cs="Times New Roman"/>
          <w:sz w:val="24"/>
          <w:szCs w:val="24"/>
          <w:lang w:val="en-US"/>
        </w:rPr>
        <w:t>How do the entries in the double entry account for bank differ from the entries that are on the bank statement?</w:t>
      </w:r>
    </w:p>
    <w:p w:rsidR="00A55D0F" w:rsidRDefault="00A55D0F" w:rsidP="00A55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business document and its type? Explain.</w:t>
      </w:r>
    </w:p>
    <w:p w:rsidR="00A55D0F" w:rsidRPr="00373C44" w:rsidRDefault="00A55D0F" w:rsidP="00A55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you think the sales returns and purchases returns are not simply entered into the opposite side of the respective sales and purchases accounts?</w:t>
      </w:r>
    </w:p>
    <w:p w:rsidR="00A55D0F" w:rsidRPr="0036332C" w:rsidRDefault="00A55D0F" w:rsidP="00A55D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5579" w:rsidRDefault="00A55D0F"/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997"/>
    <w:multiLevelType w:val="hybridMultilevel"/>
    <w:tmpl w:val="43EAD310"/>
    <w:lvl w:ilvl="0" w:tplc="1D2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0F"/>
    <w:rsid w:val="008213A9"/>
    <w:rsid w:val="009A38EC"/>
    <w:rsid w:val="00A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0A06"/>
  <w15:chartTrackingRefBased/>
  <w15:docId w15:val="{E275AB71-C6AE-46C4-B6CD-6B91D6CE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2022-11-18T08:16:00Z</dcterms:created>
  <dcterms:modified xsi:type="dcterms:W3CDTF">2022-11-18T08:17:00Z</dcterms:modified>
</cp:coreProperties>
</file>