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A4464" w14:textId="77777777" w:rsidR="009B3328" w:rsidRPr="0012641A" w:rsidRDefault="009B3328" w:rsidP="009B33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WEEK 7 </w:t>
      </w:r>
    </w:p>
    <w:p w14:paraId="389E80A7" w14:textId="77777777" w:rsidR="009B3328" w:rsidRPr="0012641A" w:rsidRDefault="009B3328" w:rsidP="009B33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 xml:space="preserve">       1.EXPLAIN REGULATORY FRAMEWORK FOR PRIMARY MARKET</w:t>
      </w:r>
    </w:p>
    <w:p w14:paraId="33BA55B8" w14:textId="77777777" w:rsidR="009B3328" w:rsidRPr="0012641A" w:rsidRDefault="009B3328" w:rsidP="009B33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41A">
        <w:rPr>
          <w:rFonts w:ascii="Times New Roman" w:hAnsi="Times New Roman" w:cs="Times New Roman"/>
          <w:sz w:val="24"/>
          <w:szCs w:val="24"/>
          <w:lang w:val="en-US"/>
        </w:rPr>
        <w:t xml:space="preserve">       2.CLASSIFY TYPES OF PUBLIC ISSUE</w:t>
      </w:r>
    </w:p>
    <w:p w14:paraId="3AE9A027" w14:textId="0E773F86" w:rsidR="001E70AF" w:rsidRDefault="009B3328" w:rsidP="009B3328">
      <w:r w:rsidRPr="0012641A">
        <w:rPr>
          <w:rFonts w:ascii="Times New Roman" w:hAnsi="Times New Roman" w:cs="Times New Roman"/>
          <w:sz w:val="24"/>
          <w:szCs w:val="24"/>
          <w:lang w:val="en-US"/>
        </w:rPr>
        <w:t xml:space="preserve">       3. EXPLAIN LISTING OF SHARES</w:t>
      </w:r>
    </w:p>
    <w:sectPr w:rsidR="001E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28"/>
    <w:rsid w:val="001E70AF"/>
    <w:rsid w:val="009B3328"/>
    <w:rsid w:val="00F4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6814"/>
  <w15:chartTrackingRefBased/>
  <w15:docId w15:val="{2EE832DD-BCF4-464F-B469-E8771ACE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2024-11-12T04:41:00Z</dcterms:created>
  <dcterms:modified xsi:type="dcterms:W3CDTF">2024-11-12T04:42:00Z</dcterms:modified>
</cp:coreProperties>
</file>