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11.1–Kretanje motora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45,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=0.5, a vrednost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Resize()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učitati model motora i semafora.Ukoliko je model podeljen u nekoliko fajlova, potrebno ih je sve učitati i iscrtati. Skalirati model, ukoliko je neophodno, tako dabude vidljiv u celosti.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primitivu,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zgrade sa obe strane motora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Cube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klasu,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2 bandere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Cylinder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2D tekst plavom bojom u donjem desnom uglu prozora (redefinisati viewport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glViewport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Arial, 10pt, italic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da bude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PF1S11.1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dve nedelje.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glColor()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izvorsvetlo-žute boje i pozicionirati ga desnoiznad motora(na pozitivnom delu y i x-ose scene). Svetlosni izvor treba da bude stacionaran (tj. transformacije nad modelom ne utiču na njega). Definisati normale za podlogu. Za Quadric objekte podesiti automatsko generisanje normala.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tako da se koristinajbliži sused 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Banderama pridružiti teksturu drveta.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teksturubetona(slika koja se koristi je samo jedan segment). Pritom obavezno skalirati teksturu (shodno potrebi).Skalirati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 iza i iznad motora i usmeriti je ka putu ispred motora.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Pomoću ugrađenih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WPF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skaliranja bandere po vertikalnoj osi (visina),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brzine kretanja motora,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ambijentalne komponente tačkastog izvora osvetljenja.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sa korisnikom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F4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tasterima 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E/D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S/F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stepenioko vertikalne ose, 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=40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)crveneboje na vrhuneke od bandera, usmeren ka motoru.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motora i semaforapostaviti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kretanja motora iza zgrade. Na početku motor stoji na semaforu i u trenutku pokretanja počinje da se kreće napred pa zatim skreće u neku stranu i odlazi sa scene.U toku animacije, onemogućiti interakciju sa korisnikom (pomoću kontrola korisničkog interfejsa i tastera). Animacija se može izvršiti proizvoljan broj puta i pokreće se pritiskom na taster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 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PF2S11.1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5</Pages>
  <Words>646</Words>
  <Characters>3904</Characters>
  <CharactersWithSpaces>4480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2021-11-20T18:49:06Z</dcterms:modified>
  <cp:revision>1</cp:revision>
  <dc:subject/>
  <dc:title/>
</cp:coreProperties>
</file>