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DRM Project Analysis Report</w:t>
      </w:r>
    </w:p>
    <w:p>
      <w:pPr>
        <w:pStyle w:val="Heading1"/>
      </w:pPr>
      <w:r>
        <w:t>Assumptions &amp; Methodology</w:t>
      </w:r>
    </w:p>
    <w:p>
      <w:r>
        <w:t>1. Risk-Free Rate (RBI T-Bill) assumed: 5.4%.</w:t>
      </w:r>
    </w:p>
    <w:p>
      <w:r>
        <w:t>2. SBI Overnight Borrowing Rate assumed: 7.85% + 2.0% spread.</w:t>
      </w:r>
    </w:p>
    <w:p>
      <w:r>
        <w:t>3. Dividend/Convenience Yield assumed for Cost of Carry: 0.0% (no dividends during contract period).</w:t>
      </w:r>
    </w:p>
    <w:p>
      <w:r>
        <w:t>4. Since January 2026 futures data is not available yet, simulated spot paths and historical price models were used to generate realistic 'Actual' and 'Theoretical' pricing data.</w:t>
      </w:r>
    </w:p>
    <w:p>
      <w:pPr>
        <w:pStyle w:val="Heading1"/>
      </w:pPr>
      <w:r>
        <w:t>Section A: Statistical Analysis</w:t>
      </w:r>
    </w:p>
    <w:p>
      <w:r>
        <w:t>Analysis period from 2025-03-04 to 2026-03-04.</w:t>
      </w:r>
    </w:p>
    <w:p>
      <w:r>
        <w:t>The table below summarizes the key statistical parameters: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Ticker</w:t>
            </w:r>
          </w:p>
        </w:tc>
        <w:tc>
          <w:tcPr>
            <w:tcW w:type="dxa" w:w="1080"/>
          </w:tcPr>
          <w:p>
            <w:r>
              <w:t>Mean Daily Return</w:t>
            </w:r>
          </w:p>
        </w:tc>
        <w:tc>
          <w:tcPr>
            <w:tcW w:type="dxa" w:w="1080"/>
          </w:tcPr>
          <w:p>
            <w:r>
              <w:t>Annualized Return</w:t>
            </w:r>
          </w:p>
        </w:tc>
        <w:tc>
          <w:tcPr>
            <w:tcW w:type="dxa" w:w="1080"/>
          </w:tcPr>
          <w:p>
            <w:r>
              <w:t>Daily Volatility</w:t>
            </w:r>
          </w:p>
        </w:tc>
        <w:tc>
          <w:tcPr>
            <w:tcW w:type="dxa" w:w="1080"/>
          </w:tcPr>
          <w:p>
            <w:r>
              <w:t>Annualized Volatility</w:t>
            </w:r>
          </w:p>
        </w:tc>
        <w:tc>
          <w:tcPr>
            <w:tcW w:type="dxa" w:w="1080"/>
          </w:tcPr>
          <w:p>
            <w:r>
              <w:t>Skewness</w:t>
            </w:r>
          </w:p>
        </w:tc>
        <w:tc>
          <w:tcPr>
            <w:tcW w:type="dxa" w:w="1080"/>
          </w:tcPr>
          <w:p>
            <w:r>
              <w:t>Kurtosis</w:t>
            </w:r>
          </w:p>
        </w:tc>
        <w:tc>
          <w:tcPr>
            <w:tcW w:type="dxa" w:w="1080"/>
          </w:tcPr>
          <w:p>
            <w:r>
              <w:t>Sharpe Ratio</w:t>
            </w:r>
          </w:p>
        </w:tc>
      </w:tr>
    </w:tbl>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TECHM.NS</w:t>
            </w:r>
          </w:p>
        </w:tc>
        <w:tc>
          <w:tcPr>
            <w:tcW w:type="dxa" w:w="1080"/>
          </w:tcPr>
          <w:p>
            <w:r>
              <w:t>-0.0003</w:t>
            </w:r>
          </w:p>
        </w:tc>
        <w:tc>
          <w:tcPr>
            <w:tcW w:type="dxa" w:w="1080"/>
          </w:tcPr>
          <w:p>
            <w:r>
              <w:t>-0.0765</w:t>
            </w:r>
          </w:p>
        </w:tc>
        <w:tc>
          <w:tcPr>
            <w:tcW w:type="dxa" w:w="1080"/>
          </w:tcPr>
          <w:p>
            <w:r>
              <w:t>0.0159</w:t>
            </w:r>
          </w:p>
        </w:tc>
        <w:tc>
          <w:tcPr>
            <w:tcW w:type="dxa" w:w="1080"/>
          </w:tcPr>
          <w:p>
            <w:r>
              <w:t>0.2526</w:t>
            </w:r>
          </w:p>
        </w:tc>
        <w:tc>
          <w:tcPr>
            <w:tcW w:type="dxa" w:w="1080"/>
          </w:tcPr>
          <w:p>
            <w:r>
              <w:t>-0.1537</w:t>
            </w:r>
          </w:p>
        </w:tc>
        <w:tc>
          <w:tcPr>
            <w:tcW w:type="dxa" w:w="1080"/>
          </w:tcPr>
          <w:p>
            <w:r>
              <w:t>2.3907</w:t>
            </w:r>
          </w:p>
        </w:tc>
        <w:tc>
          <w:tcPr>
            <w:tcW w:type="dxa" w:w="1080"/>
          </w:tcPr>
          <w:p>
            <w:r>
              <w:t>-0.5166</w:t>
            </w:r>
          </w:p>
        </w:tc>
      </w:tr>
    </w:tbl>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RAIN.NS</w:t>
            </w:r>
          </w:p>
        </w:tc>
        <w:tc>
          <w:tcPr>
            <w:tcW w:type="dxa" w:w="1080"/>
          </w:tcPr>
          <w:p>
            <w:r>
              <w:t>0.0008</w:t>
            </w:r>
          </w:p>
        </w:tc>
        <w:tc>
          <w:tcPr>
            <w:tcW w:type="dxa" w:w="1080"/>
          </w:tcPr>
          <w:p>
            <w:r>
              <w:t>0.2035</w:t>
            </w:r>
          </w:p>
        </w:tc>
        <w:tc>
          <w:tcPr>
            <w:tcW w:type="dxa" w:w="1080"/>
          </w:tcPr>
          <w:p>
            <w:r>
              <w:t>0.0250</w:t>
            </w:r>
          </w:p>
        </w:tc>
        <w:tc>
          <w:tcPr>
            <w:tcW w:type="dxa" w:w="1080"/>
          </w:tcPr>
          <w:p>
            <w:r>
              <w:t>0.3967</w:t>
            </w:r>
          </w:p>
        </w:tc>
        <w:tc>
          <w:tcPr>
            <w:tcW w:type="dxa" w:w="1080"/>
          </w:tcPr>
          <w:p>
            <w:r>
              <w:t>1.4208</w:t>
            </w:r>
          </w:p>
        </w:tc>
        <w:tc>
          <w:tcPr>
            <w:tcW w:type="dxa" w:w="1080"/>
          </w:tcPr>
          <w:p>
            <w:r>
              <w:t>5.4193</w:t>
            </w:r>
          </w:p>
        </w:tc>
        <w:tc>
          <w:tcPr>
            <w:tcW w:type="dxa" w:w="1080"/>
          </w:tcPr>
          <w:p>
            <w:r>
              <w:t>0.3768</w:t>
            </w:r>
          </w:p>
        </w:tc>
      </w:tr>
    </w:tbl>
    <w:p>
      <w:r>
        <w:br/>
        <w:t>Correlation between TECHM and RAIN: 0.1360</w:t>
      </w:r>
    </w:p>
    <w:p>
      <w:pPr>
        <w:pStyle w:val="Heading1"/>
      </w:pPr>
      <w:r>
        <w:t>Section B: Futures Pricing Comparison</w:t>
      </w:r>
    </w:p>
    <w:p>
      <w:r>
        <w:t>Theoretical futures prices were calculated using the continuous cost-of-carry model incorporating the risk-free rate and approximated dividend yield.</w:t>
      </w:r>
    </w:p>
    <w:p>
      <w:r>
        <w:t>Observations: The futures price scales with maturity length. Higher interest rates increase the futures price relative to spot (contango), while significant dividend yields reduce it (backwardation).</w:t>
      </w:r>
    </w:p>
    <w:p>
      <w:r>
        <w:t>Real-world differences: The actual futures price deviates from the theoretical baseline due to liquidity premiums, transaction costs, and demand-supply imbalances in the exchange order book.</w:t>
      </w:r>
    </w:p>
    <w:p>
      <w:pPr>
        <w:pStyle w:val="Heading1"/>
      </w:pPr>
      <w:r>
        <w:t>Section C: Margin Call Analysis</w:t>
      </w:r>
    </w:p>
    <w:p>
      <w:r>
        <w:t>Starting Capital: 50,000,000 INR (45,000,000 allocated for initial margin, 5,000,000 cash buffer).</w:t>
      </w:r>
    </w:p>
    <w:p>
      <w:r>
        <w:t>Initial Margin: 30%, Maintenance Margin: 20%.</w:t>
      </w:r>
    </w:p>
    <w:p>
      <w:r>
        <w:br/>
        <w:t>February Futures Contract Final PnL: 11659751.97 INR</w:t>
      </w:r>
    </w:p>
    <w:p>
      <w:r>
        <w:t>Equivalent Forward PnL (Feb): 11659751.97 INR</w:t>
      </w:r>
    </w:p>
    <w:p>
      <w:r>
        <w:br/>
        <w:t>March Futures Contract Final PnL: 10660296.80 INR</w:t>
      </w:r>
    </w:p>
    <w:p>
      <w:r>
        <w:t>Equivalent Forward PnL (Mar): 10660296.80 INR</w:t>
      </w:r>
    </w:p>
    <w:p>
      <w:r>
        <w:br/>
        <w:t>Comparison (Futures vs Forward):</w:t>
      </w:r>
    </w:p>
    <w:p>
      <w:r>
        <w:t>While the gross payoff of equivalent forward and futures contracts remains the same, the futures contract requires daily Mark-to-Market settlement. This MTm settlement exposes the investor to liquidity risk. If the account triggers margin calls that exceed the available cash buffer, the investor is forced to borrow cash at high interest rates (SBI + 2%). This borrowing cost reduces the net PnL of the futures contract compared to an OTC forward contract that does not require interim cash 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