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DRM Project – Section B: Pricing Futures</w:t>
      </w:r>
    </w:p>
    <w:p>
      <w:pPr>
        <w:pStyle w:val="Heading2"/>
      </w:pPr>
      <w:r>
        <w:t>Data Collection</w:t>
      </w:r>
    </w:p>
    <w:p>
      <w:r>
        <w:t>Daily closing prices of Tech Mahindra (TECHM) were collected for the period 4 March 2025 to 4 March 2026. Futures settlement prices for February 2026 and March 2026 contracts were obtained from NSE derivatives historical data.</w:t>
      </w:r>
    </w:p>
    <w:p>
      <w:pPr>
        <w:pStyle w:val="Heading2"/>
      </w:pPr>
      <w:r>
        <w:t>Methodology</w:t>
      </w:r>
    </w:p>
    <w:p>
      <w:r>
        <w:t>The theoretical futures price was calculated using the cost-of-carry model F = S * exp((r - d + c - y) * T). Weekly RBI Treasury Bill rates were used as the risk-free rate during the analysis period.</w:t>
      </w:r>
    </w:p>
    <w:p>
      <w:pPr>
        <w:pStyle w:val="Heading2"/>
      </w:pPr>
      <w:r>
        <w:t>Relationship Between Futures Prices and Maturity</w:t>
      </w:r>
    </w:p>
    <w:p>
      <w:r>
        <w:t>Futures prices increase with maturity because the cost of financing the underlying asset increases with time. In the dataset, the February 2027 contract consistently shows higher theoretical prices than the February 2026 and March 2026 contracts, reflecting higher financing costs.</w:t>
      </w:r>
    </w:p>
    <w:p>
      <w:pPr>
        <w:pStyle w:val="Heading2"/>
      </w:pPr>
      <w:r>
        <w:t>Impact of Interest Rates and Dividends</w:t>
      </w:r>
    </w:p>
    <w:p>
      <w:r>
        <w:t>The risk-free rate affects futures pricing by representing the financing cost of holding the underlying asset. RBI Treasury Bill yields ranging between approximately 5.32% and 5.50% were used. Dividend yield was assumed to be zero because no dividends occur during the contract period.</w:t>
      </w:r>
    </w:p>
    <w:p>
      <w:pPr>
        <w:pStyle w:val="Heading2"/>
      </w:pPr>
      <w:r>
        <w:t>Summary Statistics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Contract</w:t>
            </w:r>
          </w:p>
        </w:tc>
        <w:tc>
          <w:tcPr>
            <w:tcW w:type="dxa" w:w="1728"/>
          </w:tcPr>
          <w:p>
            <w:r>
              <w:t>Mean Difference</w:t>
            </w:r>
          </w:p>
        </w:tc>
        <w:tc>
          <w:tcPr>
            <w:tcW w:type="dxa" w:w="1728"/>
          </w:tcPr>
          <w:p>
            <w:r>
              <w:t>Std Dev</w:t>
            </w:r>
          </w:p>
        </w:tc>
        <w:tc>
          <w:tcPr>
            <w:tcW w:type="dxa" w:w="1728"/>
          </w:tcPr>
          <w:p>
            <w:r>
              <w:t>Max</w:t>
            </w:r>
          </w:p>
        </w:tc>
        <w:tc>
          <w:tcPr>
            <w:tcW w:type="dxa" w:w="1728"/>
          </w:tcPr>
          <w:p>
            <w:r>
              <w:t>Min</w:t>
            </w:r>
          </w:p>
        </w:tc>
      </w:tr>
      <w:tr>
        <w:tc>
          <w:tcPr>
            <w:tcW w:type="dxa" w:w="1728"/>
          </w:tcPr>
          <w:p>
            <w:r>
              <w:t>Feb 2026</w:t>
            </w:r>
          </w:p>
        </w:tc>
        <w:tc>
          <w:tcPr>
            <w:tcW w:type="dxa" w:w="1728"/>
          </w:tcPr>
          <w:p>
            <w:r>
              <w:t>-1.22</w:t>
            </w:r>
          </w:p>
        </w:tc>
        <w:tc>
          <w:tcPr>
            <w:tcW w:type="dxa" w:w="1728"/>
          </w:tcPr>
          <w:p>
            <w:r>
              <w:t>1.34</w:t>
            </w:r>
          </w:p>
        </w:tc>
        <w:tc>
          <w:tcPr>
            <w:tcW w:type="dxa" w:w="1728"/>
          </w:tcPr>
          <w:p>
            <w:r>
              <w:t>1.01</w:t>
            </w:r>
          </w:p>
        </w:tc>
        <w:tc>
          <w:tcPr>
            <w:tcW w:type="dxa" w:w="1728"/>
          </w:tcPr>
          <w:p>
            <w:r>
              <w:t>-3.01</w:t>
            </w:r>
          </w:p>
        </w:tc>
      </w:tr>
      <w:tr>
        <w:tc>
          <w:tcPr>
            <w:tcW w:type="dxa" w:w="1728"/>
          </w:tcPr>
          <w:p>
            <w:r>
              <w:t>Mar 2026</w:t>
            </w:r>
          </w:p>
        </w:tc>
        <w:tc>
          <w:tcPr>
            <w:tcW w:type="dxa" w:w="1728"/>
          </w:tcPr>
          <w:p>
            <w:r>
              <w:t>1.29</w:t>
            </w:r>
          </w:p>
        </w:tc>
        <w:tc>
          <w:tcPr>
            <w:tcW w:type="dxa" w:w="1728"/>
          </w:tcPr>
          <w:p>
            <w:r>
              <w:t>1.34</w:t>
            </w:r>
          </w:p>
        </w:tc>
        <w:tc>
          <w:tcPr>
            <w:tcW w:type="dxa" w:w="1728"/>
          </w:tcPr>
          <w:p>
            <w:r>
              <w:t>2.91</w:t>
            </w:r>
          </w:p>
        </w:tc>
        <w:tc>
          <w:tcPr>
            <w:tcW w:type="dxa" w:w="1728"/>
          </w:tcPr>
          <w:p>
            <w:r>
              <w:t>-1.01</w:t>
            </w:r>
          </w:p>
        </w:tc>
      </w:tr>
    </w:tbl>
    <w:p>
      <w:r>
        <w:t>The small average differences between theoretical and actual futures prices indicate that the cost-of-carry model provides a good approximation of market prices, while deviations are explained by market frictions.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