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Processing logic</w:t>
        <w:tab/>
      </w:r>
      <w:r>
        <w:fldChar w:fldCharType="begin"/>
        <w:instrText xml:space="preserve">PAGEREF sec_7 \h</w:instrText>
        <w:fldChar w:fldCharType="separate"/>
        <w:t>1</w:t>
        <w:fldChar w:fldCharType="end"/>
      </w:r>
    </w:p>
    <w:p>
      <w:pPr>
        <w:tabs>
          <w:tab w:pos="8640" w:val="right" w:leader="dot"/>
        </w:tabs>
      </w:pPr>
      <w:r>
        <w:t>8. Functional Requirements</w:t>
        <w:tab/>
      </w:r>
      <w:r>
        <w:fldChar w:fldCharType="begin"/>
        <w:instrText xml:space="preserve">PAGEREF sec_8 \h</w:instrText>
        <w:fldChar w:fldCharType="separate"/>
        <w:t>1</w:t>
        <w:fldChar w:fldCharType="end"/>
      </w:r>
    </w:p>
    <w:p>
      <w:pPr>
        <w:tabs>
          <w:tab w:pos="8640" w:val="right" w:leader="dot"/>
        </w:tabs>
      </w:pPr>
      <w:r>
        <w:t>9. Interfaces &amp; Integration</w:t>
        <w:tab/>
      </w:r>
      <w:r>
        <w:fldChar w:fldCharType="begin"/>
        <w:instrText xml:space="preserve">PAGEREF sec_9 \h</w:instrText>
        <w:fldChar w:fldCharType="separate"/>
        <w:t>1</w:t>
        <w:fldChar w:fldCharType="end"/>
      </w:r>
    </w:p>
    <w:p>
      <w:pPr>
        <w:tabs>
          <w:tab w:pos="8640" w:val="right" w:leader="dot"/>
        </w:tabs>
      </w:pPr>
      <w:r>
        <w:t>10. Output</w:t>
        <w:tab/>
      </w:r>
      <w:r>
        <w:fldChar w:fldCharType="begin"/>
        <w:instrText xml:space="preserve">PAGEREF sec_10 \h</w:instrText>
        <w:fldChar w:fldCharType="separate"/>
        <w:t>1</w:t>
        <w:fldChar w:fldCharType="end"/>
      </w:r>
    </w:p>
    <w:p>
      <w:pPr>
        <w:tabs>
          <w:tab w:pos="8640" w:val="right" w:leader="dot"/>
        </w:tabs>
      </w:pPr>
      <w:r>
        <w:t>11. UI Requirement</w:t>
        <w:tab/>
      </w:r>
      <w:r>
        <w:fldChar w:fldCharType="begin"/>
        <w:instrText xml:space="preserve">PAGEREF sec_11 \h</w:instrText>
        <w:fldChar w:fldCharType="separate"/>
        <w:t>1</w:t>
        <w:fldChar w:fldCharType="end"/>
      </w:r>
    </w:p>
    <w:p>
      <w:pPr>
        <w:tabs>
          <w:tab w:pos="8640" w:val="right" w:leader="dot"/>
        </w:tabs>
      </w:pPr>
      <w:r>
        <w:t>12. Authorization &amp; Security</w:t>
        <w:tab/>
      </w:r>
      <w:r>
        <w:fldChar w:fldCharType="begin"/>
        <w:instrText xml:space="preserve">PAGEREF sec_12 \h</w:instrText>
        <w:fldChar w:fldCharType="separate"/>
        <w:t>1</w:t>
        <w:fldChar w:fldCharType="end"/>
      </w:r>
    </w:p>
    <w:p>
      <w:pPr>
        <w:tabs>
          <w:tab w:pos="8640" w:val="right" w:leader="dot"/>
        </w:tabs>
      </w:pPr>
      <w:r>
        <w:t>13. Error Handling &amp; Notifications</w:t>
        <w:tab/>
      </w:r>
      <w:r>
        <w:fldChar w:fldCharType="begin"/>
        <w:instrText xml:space="preserve">PAGEREF sec_13 \h</w:instrText>
        <w:fldChar w:fldCharType="separate"/>
        <w:t>1</w:t>
        <w:fldChar w:fldCharType="end"/>
      </w:r>
    </w:p>
    <w:p>
      <w:pPr>
        <w:tabs>
          <w:tab w:pos="8640" w:val="right" w:leader="dot"/>
        </w:tabs>
      </w:pPr>
      <w:r>
        <w:t>14. Assumptions &amp; Dependencies</w:t>
        <w:tab/>
      </w:r>
      <w:r>
        <w:fldChar w:fldCharType="begin"/>
        <w:instrText xml:space="preserve">PAGEREF sec_14 \h</w:instrText>
        <w:fldChar w:fldCharType="separate"/>
        <w:t>1</w:t>
        <w:fldChar w:fldCharType="end"/>
      </w:r>
    </w:p>
    <w:p>
      <w:pPr>
        <w:tabs>
          <w:tab w:pos="8640" w:val="right" w:leader="dot"/>
        </w:tabs>
      </w:pPr>
      <w:r>
        <w:t>15. Test Scenario</w:t>
        <w:tab/>
      </w:r>
      <w:r>
        <w:fldChar w:fldCharType="begin"/>
        <w:instrText xml:space="preserve">PAGEREF sec_15 \h</w:instrText>
        <w:fldChar w:fldCharType="separate"/>
        <w:t>1</w:t>
        <w:fldChar w:fldCharType="end"/>
      </w:r>
    </w:p>
    <w:p>
      <w:pPr>
        <w:tabs>
          <w:tab w:pos="8640" w:val="right" w:leader="dot"/>
        </w:tabs>
      </w:pPr>
      <w:r>
        <w:t>16. Sign-Off</w:t>
        <w:tab/>
      </w:r>
      <w:r>
        <w:fldChar w:fldCharType="begin"/>
        <w:instrText xml:space="preserve">PAGEREF sec_16 \h</w:instrText>
        <w:fldChar w:fldCharType="separate"/>
        <w:t>1</w:t>
        <w:fldChar w:fldCharType="end"/>
      </w:r>
    </w:p>
    <w:p>
      <w:bookmarkStart w:id="1" w:name="sec_1"/>
      <w:pPr>
        <w:pStyle w:val="Heading1"/>
      </w:pPr>
      <w:r>
        <w:t>1. Document Information</w:t>
      </w:r>
      <w:bookmarkEnd w:id="1"/>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Document Title</w:t>
            </w:r>
          </w:p>
        </w:tc>
        <w:tc>
          <w:tcPr>
            <w:tcW w:type="dxa" w:w="1728"/>
          </w:tcPr>
          <w:p>
            <w:r>
              <w:t>Project Name</w:t>
            </w:r>
          </w:p>
        </w:tc>
        <w:tc>
          <w:tcPr>
            <w:tcW w:type="dxa" w:w="1728"/>
          </w:tcPr>
          <w:p>
            <w:r>
              <w:t>Client Name</w:t>
            </w:r>
          </w:p>
        </w:tc>
        <w:tc>
          <w:tcPr>
            <w:tcW w:type="dxa" w:w="1728"/>
          </w:tcPr>
          <w:p>
            <w:r>
              <w:t>Prepared By (Author, Department)</w:t>
            </w:r>
          </w:p>
        </w:tc>
        <w:tc>
          <w:tcPr>
            <w:tcW w:type="dxa" w:w="1728"/>
          </w:tcPr>
          <w:p>
            <w:r>
              <w:t>Document Version &amp; Date</w:t>
            </w:r>
          </w:p>
        </w:tc>
      </w:tr>
      <w:tr>
        <w:tc>
          <w:tcPr>
            <w:tcW w:type="dxa" w:w="1728"/>
          </w:tcPr>
          <w:p>
            <w:r>
              <w:t>ZPP_COPY_PBOM_TO_SBOM Program</w:t>
            </w:r>
          </w:p>
        </w:tc>
        <w:tc>
          <w:tcPr>
            <w:tcW w:type="dxa" w:w="1728"/>
          </w:tcPr>
          <w:p>
            <w:r/>
          </w:p>
        </w:tc>
        <w:tc>
          <w:tcPr>
            <w:tcW w:type="dxa" w:w="1728"/>
          </w:tcPr>
          <w:p>
            <w:r/>
          </w:p>
        </w:tc>
        <w:tc>
          <w:tcPr>
            <w:tcW w:type="dxa" w:w="1728"/>
          </w:tcPr>
          <w:p>
            <w:r>
              <w:t>PWC AI Asset</w:t>
            </w:r>
          </w:p>
        </w:tc>
        <w:tc>
          <w:tcPr>
            <w:tcW w:type="dxa" w:w="1728"/>
          </w:tcPr>
          <w:p>
            <w:r/>
          </w:p>
        </w:tc>
      </w:tr>
    </w:tbl>
    <w:p>
      <w:bookmarkStart w:id="2" w:name="sec_2"/>
      <w:pPr>
        <w:pStyle w:val="Heading1"/>
      </w:pPr>
      <w:r>
        <w:t>2. Introduction</w:t>
      </w:r>
      <w:bookmarkEnd w:id="2"/>
    </w:p>
    <w:p>
      <w:r>
        <w:t>This document serves as the functional specification for the SAP ABAP program ZPP_COPY_PBOM_TO_SBOM. The purpose of this document is to define the scope, objectives, and intended audience for the development of this program. The scope includes the technical and functional requirements necessary for the implementation of the program. The intended audience for this document includes business analysts, functional consultants, technical developers, and project stakeholders involved in the SAP ABAP development lifecycle.</w:t>
      </w:r>
    </w:p>
    <w:p>
      <w:bookmarkStart w:id="3" w:name="sec_3"/>
      <w:pPr>
        <w:pStyle w:val="Heading1"/>
      </w:pPr>
      <w:r>
        <w:t>3. Business Requirement Overview</w:t>
      </w:r>
      <w:bookmarkEnd w:id="3"/>
    </w:p>
    <w:p>
      <w:r>
        <w:t>The business requires the development of the ZPP_COPY_PBOM_TO_SBOM program to address specific process needs related to copying Production BOM (PBOM) data to Service BOM (SBOM) within the SAP system. The objective is to streamline and automate the transfer of BOM data, reducing manual effort and potential errors, and ensuring data consistency between production and service processes.</w:t>
      </w:r>
    </w:p>
    <w:p>
      <w:bookmarkStart w:id="4" w:name="sec_4"/>
      <w:pPr>
        <w:pStyle w:val="Heading1"/>
      </w:pPr>
      <w:r>
        <w:t>4. Business Process Flow</w:t>
      </w:r>
      <w:bookmarkEnd w:id="4"/>
    </w:p>
    <w:p>
      <w:r>
        <w:t>Start -&gt; Execute ZPP_COPY_PBOM_TO_SBOM Program -&gt; Copy PBOM Data to SBOM -&gt; End</w:t>
      </w:r>
    </w:p>
    <w:p>
      <w:bookmarkStart w:id="5" w:name="sec_5"/>
      <w:pPr>
        <w:pStyle w:val="Heading1"/>
      </w:pPr>
      <w:r>
        <w:t>5. Functional Scope</w:t>
      </w:r>
      <w:bookmarkEnd w:id="5"/>
    </w:p>
    <w:p>
      <w:r>
        <w:t>1. In-Scope items</w:t>
      </w:r>
    </w:p>
    <w:p>
      <w:r>
        <w:t>1.1. The program ZPP_COPY_PBOM_TO_SBOM is included in the functional scope.</w:t>
      </w:r>
    </w:p>
    <w:p>
      <w:r>
        <w:t>1.2. The solution pertains to an ABAP object of type PROG (program).</w:t>
      </w:r>
    </w:p>
    <w:p>
      <w:r>
        <w:t>1.3. All logic, processing, and functionalities directly related to the ZPP_COPY_PBOM_TO_SBOM program are considered in-scope.</w:t>
      </w:r>
    </w:p>
    <w:p>
      <w:r>
        <w:t>2. Out-of-Scope items</w:t>
      </w:r>
    </w:p>
    <w:p>
      <w:r>
        <w:t>2.1. Any programs, objects, or functionalities not explicitly identified as ZPP_COPY_PBOM_TO_SBOM are excluded from the scope.</w:t>
      </w:r>
    </w:p>
    <w:p>
      <w:r>
        <w:t>2.2. Any ABAP object types other than PROG are not included.</w:t>
      </w:r>
    </w:p>
    <w:p>
      <w:r>
        <w:t>2.3. No additional explanation or business logic is provided beyond what is specified in the payload.</w:t>
      </w:r>
    </w:p>
    <w:p>
      <w:bookmarkStart w:id="6" w:name="sec_6"/>
      <w:pPr>
        <w:pStyle w:val="Heading1"/>
      </w:pPr>
      <w:r>
        <w:t>6. Functional Solution Approach</w:t>
      </w:r>
      <w:bookmarkEnd w:id="6"/>
    </w:p>
    <w:p>
      <w:r>
        <w:t>The program ZPP_COPY_PBOM_TO_SBOM will be developed as an executable ABAP report (type PROG). The functional solution will involve reading Production BOM (PBOM) data from the relevant SAP tables and copying this information to create or update corresponding entries in the Subcontracting BOM (SBOM) structure. The process will ensure that all necessary fields and relationships from the PBOM are accurately mapped and transferred to the SBOM, maintaining data integrity and consistency. The solution will also include validations to check for existing SBOM entries to avoid duplication and ensure that only valid and complete PBOMs are considered for copying. User feedback and error handling will be incorporated to inform users of the outcome of the copy process.</w:t>
      </w:r>
    </w:p>
    <w:p>
      <w:bookmarkStart w:id="7" w:name="sec_7"/>
      <w:pPr>
        <w:pStyle w:val="Heading1"/>
      </w:pPr>
      <w:r>
        <w:t>7. Processing logic</w:t>
      </w:r>
      <w:bookmarkEnd w:id="7"/>
    </w:p>
    <w:p>
      <w:r>
        <w:t>[ERROR: Section content missing]</w:t>
      </w:r>
    </w:p>
    <w:p>
      <w:bookmarkStart w:id="8" w:name="sec_8"/>
      <w:pPr>
        <w:pStyle w:val="Heading1"/>
      </w:pPr>
      <w:r>
        <w:t>8. Functional Requirements</w:t>
      </w:r>
      <w:bookmarkEnd w:id="8"/>
    </w:p>
    <w:p>
      <w:r>
        <w:t>This program (ZPP_COPY_PBOM_TO_SBOM) is of type PROG. [To Be Filled]</w:t>
      </w:r>
    </w:p>
    <w:tbl>
      <w:tblPr>
        <w:tblStyle w:val="LightList"/>
        <w:tblW w:type="auto" w:w="0"/>
        <w:tblLook w:firstColumn="1" w:firstRow="1" w:lastColumn="0" w:lastRow="0" w:noHBand="0" w:noVBand="1" w:val="04A0"/>
      </w:tblPr>
      <w:tblGrid>
        <w:gridCol w:w="4320"/>
        <w:gridCol w:w="4320"/>
      </w:tblGrid>
      <w:tr>
        <w:tc>
          <w:tcPr>
            <w:tcW w:type="dxa" w:w="4320"/>
          </w:tcPr>
          <w:p>
            <w:r>
              <w:t>Field Name</w:t>
            </w:r>
          </w:p>
        </w:tc>
        <w:tc>
          <w:tcPr>
            <w:tcW w:type="dxa" w:w="4320"/>
          </w:tcPr>
          <w:p>
            <w:r>
              <w:t>Field Logic</w:t>
            </w:r>
          </w:p>
        </w:tc>
      </w:tr>
      <w:tr>
        <w:tc>
          <w:tcPr>
            <w:tcW w:type="dxa" w:w="4320"/>
          </w:tcPr>
          <w:p>
            <w:r>
              <w:t>MATNR</w:t>
            </w:r>
          </w:p>
        </w:tc>
        <w:tc>
          <w:tcPr>
            <w:tcW w:type="dxa" w:w="4320"/>
          </w:tcPr>
          <w:p>
            <w:r>
              <w:t>Material number fetched from MARA (with MATKL and MATNR in selection options), MAST (with WERKS, STLAN, STLNR, STLAL), and used throughout to identify and process materials for BOM creation, filtering, and validation. Used in WHERE conditions for matching, and as a key for BOM header/component logic.</w:t>
            </w:r>
          </w:p>
        </w:tc>
      </w:tr>
      <w:tr>
        <w:tc>
          <w:tcPr>
            <w:tcW w:type="dxa" w:w="4320"/>
          </w:tcPr>
          <w:p>
            <w:r>
              <w:t>WERKS</w:t>
            </w:r>
          </w:p>
        </w:tc>
        <w:tc>
          <w:tcPr>
            <w:tcW w:type="dxa" w:w="4320"/>
          </w:tcPr>
          <w:p>
            <w:r>
              <w:t>Plant fetched from MAST (with MATNR, STLAN, STLNR, STLAL) and MKAL (with MATNR, BDATU &gt;= SY-DATUM, ADATU &lt;= SY-DATUM), used to filter BOMs by plant, and passed to BOM processing logic and creation.</w:t>
            </w:r>
          </w:p>
        </w:tc>
      </w:tr>
      <w:tr>
        <w:tc>
          <w:tcPr>
            <w:tcW w:type="dxa" w:w="4320"/>
          </w:tcPr>
          <w:p>
            <w:r>
              <w:t>STLAN</w:t>
            </w:r>
          </w:p>
        </w:tc>
        <w:tc>
          <w:tcPr>
            <w:tcW w:type="dxa" w:w="4320"/>
          </w:tcPr>
          <w:p>
            <w:r>
              <w:t>BOM usage fetched from MAST (with MATNR, WERKS, STLNR, STLAL), used as a filter (e.g., '5', T_STLAN, P_STLAN), and determines the type of BOM (e.g., production or sales BOM) in both selection and creation logic.</w:t>
            </w:r>
          </w:p>
        </w:tc>
      </w:tr>
      <w:tr>
        <w:tc>
          <w:tcPr>
            <w:tcW w:type="dxa" w:w="4320"/>
          </w:tcPr>
          <w:p>
            <w:r>
              <w:t>STLNR</w:t>
            </w:r>
          </w:p>
        </w:tc>
        <w:tc>
          <w:tcPr>
            <w:tcW w:type="dxa" w:w="4320"/>
          </w:tcPr>
          <w:p>
            <w:r>
              <w:t>BOM number fetched from MAST (with MATNR, WERKS, STLAN, STLAL), used as a key to link to STKO, STAS, and STPO tables for BOM header and item details, and for grouping BOM data.</w:t>
            </w:r>
          </w:p>
        </w:tc>
      </w:tr>
      <w:tr>
        <w:tc>
          <w:tcPr>
            <w:tcW w:type="dxa" w:w="4320"/>
          </w:tcPr>
          <w:p>
            <w:r>
              <w:t>STLAL</w:t>
            </w:r>
          </w:p>
        </w:tc>
        <w:tc>
          <w:tcPr>
            <w:tcW w:type="dxa" w:w="4320"/>
          </w:tcPr>
          <w:p>
            <w:r>
              <w:t>Alternative BOM fetched from MAST (with MATNR, WERKS, STLAN, STLNR), used to select specific BOM alternatives in both selection and BOM creation logic.</w:t>
            </w:r>
          </w:p>
        </w:tc>
      </w:tr>
      <w:tr>
        <w:tc>
          <w:tcPr>
            <w:tcW w:type="dxa" w:w="4320"/>
          </w:tcPr>
          <w:p>
            <w:r>
              <w:t>MATKL</w:t>
            </w:r>
          </w:p>
        </w:tc>
        <w:tc>
          <w:tcPr>
            <w:tcW w:type="dxa" w:w="4320"/>
          </w:tcPr>
          <w:p>
            <w:r>
              <w:t>Material group fetched from MARA (with MATNR), used as a filter (IN SO_MATKL) to restrict materials processed for BOM creation.</w:t>
            </w:r>
          </w:p>
        </w:tc>
      </w:tr>
      <w:tr>
        <w:tc>
          <w:tcPr>
            <w:tcW w:type="dxa" w:w="4320"/>
          </w:tcPr>
          <w:p>
            <w:r>
              <w:t>STLTY</w:t>
            </w:r>
          </w:p>
        </w:tc>
        <w:tc>
          <w:tcPr>
            <w:tcW w:type="dxa" w:w="4320"/>
          </w:tcPr>
          <w:p>
            <w:r>
              <w:t>BOM category fetched from STKO, STPO, and STAS (with STLNR, STLAL, STLKN), filtered as 'M' to process only material BOMs in header, item, and status tables.</w:t>
            </w:r>
          </w:p>
        </w:tc>
      </w:tr>
      <w:tr>
        <w:tc>
          <w:tcPr>
            <w:tcW w:type="dxa" w:w="4320"/>
          </w:tcPr>
          <w:p>
            <w:r>
              <w:t>STKOZ</w:t>
            </w:r>
          </w:p>
        </w:tc>
        <w:tc>
          <w:tcPr>
            <w:tcW w:type="dxa" w:w="4320"/>
          </w:tcPr>
          <w:p>
            <w:r>
              <w:t>BOM header status fetched from STKO (with STLTY, STLNR, STLAL), used for BOM header processing and validation.</w:t>
            </w:r>
          </w:p>
        </w:tc>
      </w:tr>
      <w:tr>
        <w:tc>
          <w:tcPr>
            <w:tcW w:type="dxa" w:w="4320"/>
          </w:tcPr>
          <w:p>
            <w:r>
              <w:t>LKENZ</w:t>
            </w:r>
          </w:p>
        </w:tc>
        <w:tc>
          <w:tcPr>
            <w:tcW w:type="dxa" w:w="4320"/>
          </w:tcPr>
          <w:p>
            <w:r>
              <w:t>Deletion indicator fetched from STKO, STPO, and STAS (with STLNR, STLAL, STLKN), used to filter out deleted BOM headers, items, or statuses.</w:t>
            </w:r>
          </w:p>
        </w:tc>
      </w:tr>
      <w:tr>
        <w:tc>
          <w:tcPr>
            <w:tcW w:type="dxa" w:w="4320"/>
          </w:tcPr>
          <w:p>
            <w:r>
              <w:t>LOEKZ</w:t>
            </w:r>
          </w:p>
        </w:tc>
        <w:tc>
          <w:tcPr>
            <w:tcW w:type="dxa" w:w="4320"/>
          </w:tcPr>
          <w:p>
            <w:r>
              <w:t>Deletion flag fetched from STKO (with STLNR, STLAL), used to filter out logically deleted BOM headers.</w:t>
            </w:r>
          </w:p>
        </w:tc>
      </w:tr>
      <w:tr>
        <w:tc>
          <w:tcPr>
            <w:tcW w:type="dxa" w:w="4320"/>
          </w:tcPr>
          <w:p>
            <w:r>
              <w:t>BMENG</w:t>
            </w:r>
          </w:p>
        </w:tc>
        <w:tc>
          <w:tcPr>
            <w:tcW w:type="dxa" w:w="4320"/>
          </w:tcPr>
          <w:p>
            <w:r>
              <w:t>Base quantity fetched from STKO (with STLNR, STLAL), used to calculate component quantities in BOM creation logic (TSTKO-BASE_QUAN, TSTPO-COMP_QTY).</w:t>
            </w:r>
          </w:p>
        </w:tc>
      </w:tr>
      <w:tr>
        <w:tc>
          <w:tcPr>
            <w:tcW w:type="dxa" w:w="4320"/>
          </w:tcPr>
          <w:p>
            <w:r>
              <w:t>BMEIN</w:t>
            </w:r>
          </w:p>
        </w:tc>
        <w:tc>
          <w:tcPr>
            <w:tcW w:type="dxa" w:w="4320"/>
          </w:tcPr>
          <w:p>
            <w:r>
              <w:t>Base unit of measure fetched from STKO (with STLNR, STLAL), used as the BOM base unit in BOM creation logic (TSTKO-BASE_UNIT, TSTPO-COMP_UNIT).</w:t>
            </w:r>
          </w:p>
        </w:tc>
      </w:tr>
      <w:tr>
        <w:tc>
          <w:tcPr>
            <w:tcW w:type="dxa" w:w="4320"/>
          </w:tcPr>
          <w:p>
            <w:r>
              <w:t>STLKN</w:t>
            </w:r>
          </w:p>
        </w:tc>
        <w:tc>
          <w:tcPr>
            <w:tcW w:type="dxa" w:w="4320"/>
          </w:tcPr>
          <w:p>
            <w:r>
              <w:t>BOM item node number fetched from STPO and STAS (with STLNR, STLAL), used to link BOM items to their status and for grouping BOM items.</w:t>
            </w:r>
          </w:p>
        </w:tc>
      </w:tr>
      <w:tr>
        <w:tc>
          <w:tcPr>
            <w:tcW w:type="dxa" w:w="4320"/>
          </w:tcPr>
          <w:p>
            <w:r>
              <w:t>STPOZ</w:t>
            </w:r>
          </w:p>
        </w:tc>
        <w:tc>
          <w:tcPr>
            <w:tcW w:type="dxa" w:w="4320"/>
          </w:tcPr>
          <w:p>
            <w:r>
              <w:t>BOM item position fetched from STPO (with STLNR, STLKN), used to identify and order BOM items.</w:t>
            </w:r>
          </w:p>
        </w:tc>
      </w:tr>
      <w:tr>
        <w:tc>
          <w:tcPr>
            <w:tcW w:type="dxa" w:w="4320"/>
          </w:tcPr>
          <w:p>
            <w:r>
              <w:t>MENGE</w:t>
            </w:r>
          </w:p>
        </w:tc>
        <w:tc>
          <w:tcPr>
            <w:tcW w:type="dxa" w:w="4320"/>
          </w:tcPr>
          <w:p>
            <w:r>
              <w:t>Component quantity fetched from STPO (with STLNR, STLKN), used to calculate and assign BOM component quantities in BOM creation logic (TSTPO-COMP_QTY).</w:t>
            </w:r>
          </w:p>
        </w:tc>
      </w:tr>
      <w:tr>
        <w:tc>
          <w:tcPr>
            <w:tcW w:type="dxa" w:w="4320"/>
          </w:tcPr>
          <w:p>
            <w:r>
              <w:t>MEINS</w:t>
            </w:r>
          </w:p>
        </w:tc>
        <w:tc>
          <w:tcPr>
            <w:tcW w:type="dxa" w:w="4320"/>
          </w:tcPr>
          <w:p>
            <w:r>
              <w:t>Component unit of measure fetched from STPO (with STLNR, STLKN), used as the unit for BOM component quantities in BOM creation logic (TSTPO-COMP_UNIT).</w:t>
            </w:r>
          </w:p>
        </w:tc>
      </w:tr>
      <w:tr>
        <w:tc>
          <w:tcPr>
            <w:tcW w:type="dxa" w:w="4320"/>
          </w:tcPr>
          <w:p>
            <w:r>
              <w:t>IDNRK</w:t>
            </w:r>
          </w:p>
        </w:tc>
        <w:tc>
          <w:tcPr>
            <w:tcW w:type="dxa" w:w="4320"/>
          </w:tcPr>
          <w:p>
            <w:r>
              <w:t>Component material number fetched from STPO (with STLNR, STLKN), used to identify BOM components, filter by type (e.g., IDNRK+0(2) = 'PV', 'PW', 'PR', 'RS', 'SZ', 'CZ'), and for BOM expansion and validation.</w:t>
            </w:r>
          </w:p>
        </w:tc>
      </w:tr>
      <w:tr>
        <w:tc>
          <w:tcPr>
            <w:tcW w:type="dxa" w:w="4320"/>
          </w:tcPr>
          <w:p>
            <w:r>
              <w:t>POSNR</w:t>
            </w:r>
          </w:p>
        </w:tc>
        <w:tc>
          <w:tcPr>
            <w:tcW w:type="dxa" w:w="4320"/>
          </w:tcPr>
          <w:p>
            <w:r>
              <w:t>BOM item number fetched from STPO (with STLNR, STLKN), used to assign and order BOM items in creation logic (TSTPO-ITEM_NO).</w:t>
            </w:r>
          </w:p>
        </w:tc>
      </w:tr>
      <w:tr>
        <w:tc>
          <w:tcPr>
            <w:tcW w:type="dxa" w:w="4320"/>
          </w:tcPr>
          <w:p>
            <w:r>
              <w:t>POSTP</w:t>
            </w:r>
          </w:p>
        </w:tc>
        <w:tc>
          <w:tcPr>
            <w:tcW w:type="dxa" w:w="4320"/>
          </w:tcPr>
          <w:p>
            <w:r>
              <w:t>BOM item category fetched from STPO (with STLNR, STLKN), used to assign BOM item category in creation logic (TSTPO-ITEM_CATEG).</w:t>
            </w:r>
          </w:p>
        </w:tc>
      </w:tr>
      <w:tr>
        <w:tc>
          <w:tcPr>
            <w:tcW w:type="dxa" w:w="4320"/>
          </w:tcPr>
          <w:p>
            <w:r>
              <w:t>STASZ</w:t>
            </w:r>
          </w:p>
        </w:tc>
        <w:tc>
          <w:tcPr>
            <w:tcW w:type="dxa" w:w="4320"/>
          </w:tcPr>
          <w:p>
            <w:r>
              <w:t>BOM status fetched from STAS (with STLNR, STLAL, STLKN), used to process and validate BOM status during BOM creation.</w:t>
            </w:r>
          </w:p>
        </w:tc>
      </w:tr>
      <w:tr>
        <w:tc>
          <w:tcPr>
            <w:tcW w:type="dxa" w:w="4320"/>
          </w:tcPr>
          <w:p>
            <w:r>
              <w:t>MCODE</w:t>
            </w:r>
          </w:p>
        </w:tc>
        <w:tc>
          <w:tcPr>
            <w:tcW w:type="dxa" w:w="4320"/>
          </w:tcPr>
          <w:p>
            <w:r>
              <w:t>Material code fetched from ZPP_SALES_BOM (with LCODE, APPL), used to validate if a material is allowed for sales BOM creation by matching with substrings of MATNR.</w:t>
            </w:r>
          </w:p>
        </w:tc>
      </w:tr>
      <w:tr>
        <w:tc>
          <w:tcPr>
            <w:tcW w:type="dxa" w:w="4320"/>
          </w:tcPr>
          <w:p>
            <w:r>
              <w:t>LCODE</w:t>
            </w:r>
          </w:p>
        </w:tc>
        <w:tc>
          <w:tcPr>
            <w:tcW w:type="dxa" w:w="4320"/>
          </w:tcPr>
          <w:p>
            <w:r>
              <w:t>Logic code fetched from ZPP_SALES_BOM (with MCODE, APPL), used in combination with MCODE and substrings of MATNR to validate material eligibility for sales BOM creation.</w:t>
            </w:r>
          </w:p>
        </w:tc>
      </w:tr>
      <w:tr>
        <w:tc>
          <w:tcPr>
            <w:tcW w:type="dxa" w:w="4320"/>
          </w:tcPr>
          <w:p>
            <w:r>
              <w:t>APPL</w:t>
            </w:r>
          </w:p>
        </w:tc>
        <w:tc>
          <w:tcPr>
            <w:tcW w:type="dxa" w:w="4320"/>
          </w:tcPr>
          <w:p>
            <w:r>
              <w:t>Application flag fetched from ZPP_SALES_BOM (with MCODE, LCODE), filtered as 'X' to select only active application records for sales BOM validation.</w:t>
            </w:r>
          </w:p>
        </w:tc>
      </w:tr>
      <w:tr>
        <w:tc>
          <w:tcPr>
            <w:tcW w:type="dxa" w:w="4320"/>
          </w:tcPr>
          <w:p>
            <w:r>
              <w:t>BDATU</w:t>
            </w:r>
          </w:p>
        </w:tc>
        <w:tc>
          <w:tcPr>
            <w:tcW w:type="dxa" w:w="4320"/>
          </w:tcPr>
          <w:p>
            <w:r>
              <w:t>Production version valid-from date fetched from MKAL (with MATNR, WERKS), filtered as BDATU &gt;= SY-DATUM to ensure only currently valid production versions are considered for BOM expansion.</w:t>
            </w:r>
          </w:p>
        </w:tc>
      </w:tr>
      <w:tr>
        <w:tc>
          <w:tcPr>
            <w:tcW w:type="dxa" w:w="4320"/>
          </w:tcPr>
          <w:p>
            <w:r>
              <w:t>ADATU</w:t>
            </w:r>
          </w:p>
        </w:tc>
        <w:tc>
          <w:tcPr>
            <w:tcW w:type="dxa" w:w="4320"/>
          </w:tcPr>
          <w:p>
            <w:r>
              <w:t>Production version valid-to date fetched from MKAL (with MATNR, WERKS), filtered as ADATU &lt;= SY-DATUM to ensure only currently valid production versions are considered for BOM expansion.</w:t>
            </w:r>
          </w:p>
        </w:tc>
      </w:tr>
    </w:tbl>
    <w:p>
      <w:bookmarkStart w:id="9" w:name="sec_9"/>
      <w:pPr>
        <w:pStyle w:val="Heading1"/>
      </w:pPr>
      <w:r>
        <w:t>9. Interfaces &amp; Integration</w:t>
      </w:r>
      <w:bookmarkEnd w:id="9"/>
    </w:p>
    <w:tbl>
      <w:tblPr>
        <w:tblStyle w:val="LightList"/>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Interface ID</w:t>
            </w:r>
          </w:p>
        </w:tc>
        <w:tc>
          <w:tcPr>
            <w:tcW w:type="dxa" w:w="1080"/>
          </w:tcPr>
          <w:p>
            <w:r>
              <w:t>Source System</w:t>
            </w:r>
          </w:p>
        </w:tc>
        <w:tc>
          <w:tcPr>
            <w:tcW w:type="dxa" w:w="1080"/>
          </w:tcPr>
          <w:p>
            <w:r>
              <w:t>Target System</w:t>
            </w:r>
          </w:p>
        </w:tc>
        <w:tc>
          <w:tcPr>
            <w:tcW w:type="dxa" w:w="1080"/>
          </w:tcPr>
          <w:p>
            <w:r>
              <w:t>Data/Message Type</w:t>
            </w:r>
          </w:p>
        </w:tc>
        <w:tc>
          <w:tcPr>
            <w:tcW w:type="dxa" w:w="1080"/>
          </w:tcPr>
          <w:p>
            <w:r>
              <w:t>Frequency/Mode</w:t>
            </w:r>
          </w:p>
        </w:tc>
        <w:tc>
          <w:tcPr>
            <w:tcW w:type="dxa" w:w="1080"/>
          </w:tcPr>
          <w:p>
            <w:r>
              <w:t>Description</w:t>
            </w:r>
          </w:p>
        </w:tc>
        <w:tc>
          <w:tcPr>
            <w:tcW w:type="dxa" w:w="1080"/>
          </w:tcPr>
          <w:p>
            <w:r/>
          </w:p>
        </w:tc>
      </w:tr>
      <w:tr>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p>
        </w:tc>
      </w:tr>
    </w:tbl>
    <w:p>
      <w:bookmarkStart w:id="10" w:name="sec_10"/>
      <w:pPr>
        <w:pStyle w:val="Heading1"/>
      </w:pPr>
      <w:r>
        <w:t>10. Output</w:t>
      </w:r>
      <w:bookmarkEnd w:id="10"/>
    </w:p>
    <w:p>
      <w:r>
        <w:t>Based on the provided payload, there is no information regarding any reports, extracts, or outputs generated by the program ZPP_COPY_PBOM_TO_SBOM. The payload does not specify any output format, layout, destination, or functional purpose for outputs. Therefore, no functional outputs can be described for this program.</w:t>
      </w:r>
    </w:p>
    <w:p>
      <w:bookmarkStart w:id="11" w:name="sec_11"/>
      <w:pPr>
        <w:pStyle w:val="Heading1"/>
      </w:pPr>
      <w:r>
        <w:t>11. UI Requirement</w:t>
      </w:r>
      <w:bookmarkEnd w:id="11"/>
    </w:p>
    <w:p>
      <w:r>
        <w:t>No selection screen parameters or UI elements are defined in the provided payload. As a result, there are no input fields, checkboxes, radio buttons, dropdowns, date fields, default values, or mandatory fields to specify. No business purpose, validation logic, or field dependencies are applicable.</w:t>
      </w:r>
    </w:p>
    <w:p>
      <w:bookmarkStart w:id="12" w:name="sec_12"/>
      <w:pPr>
        <w:pStyle w:val="Heading1"/>
      </w:pPr>
      <w:r>
        <w:t>12. Authorization &amp; Security</w:t>
      </w:r>
      <w:bookmarkEnd w:id="12"/>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Role/Profile</w:t>
            </w:r>
          </w:p>
        </w:tc>
        <w:tc>
          <w:tcPr>
            <w:tcW w:type="dxa" w:w="2160"/>
          </w:tcPr>
          <w:p>
            <w:r>
              <w:t>Authorization Object</w:t>
            </w:r>
          </w:p>
        </w:tc>
        <w:tc>
          <w:tcPr>
            <w:tcW w:type="dxa" w:w="2160"/>
          </w:tcPr>
          <w:p>
            <w:r>
              <w:t>Access Level</w:t>
            </w:r>
          </w:p>
        </w:tc>
        <w:tc>
          <w:tcPr>
            <w:tcW w:type="dxa" w:w="2160"/>
          </w:tcPr>
          <w:p>
            <w:r>
              <w:t>Description</w:t>
            </w:r>
          </w:p>
        </w:tc>
      </w:tr>
      <w:tr>
        <w:tc>
          <w:tcPr>
            <w:tcW w:type="dxa" w:w="2160"/>
          </w:tcPr>
          <w:p>
            <w:r>
              <w:t>[To Be Filled]</w:t>
            </w:r>
          </w:p>
        </w:tc>
        <w:tc>
          <w:tcPr>
            <w:tcW w:type="dxa" w:w="2160"/>
          </w:tcPr>
          <w:p>
            <w:r>
              <w:t>[To Be Filled]</w:t>
            </w:r>
          </w:p>
        </w:tc>
        <w:tc>
          <w:tcPr>
            <w:tcW w:type="dxa" w:w="2160"/>
          </w:tcPr>
          <w:p>
            <w:r>
              <w:t>[To Be Filled]</w:t>
            </w:r>
          </w:p>
        </w:tc>
        <w:tc>
          <w:tcPr>
            <w:tcW w:type="dxa" w:w="2160"/>
          </w:tcPr>
          <w:p>
            <w:r>
              <w:t>[To Be Filled]</w:t>
            </w:r>
          </w:p>
        </w:tc>
      </w:tr>
    </w:tbl>
    <w:p>
      <w:bookmarkStart w:id="13" w:name="sec_13"/>
      <w:pPr>
        <w:pStyle w:val="Heading1"/>
      </w:pPr>
      <w:r>
        <w:t>13. Error Handling &amp; Notifications</w:t>
      </w:r>
      <w:bookmarkEnd w:id="13"/>
    </w:p>
    <w:p>
      <w:r>
        <w:t>No error handling or notification requirements are specified in the provided payload.</w:t>
      </w:r>
    </w:p>
    <w:p>
      <w:bookmarkStart w:id="14" w:name="sec_14"/>
      <w:pPr>
        <w:pStyle w:val="Heading1"/>
      </w:pPr>
      <w:r>
        <w:t>14. Assumptions &amp; Dependencies</w:t>
      </w:r>
      <w:bookmarkEnd w:id="14"/>
    </w:p>
    <w:p>
      <w:r>
        <w:t>No assumptions or dependencies are specified in the provided payload.</w:t>
      </w:r>
    </w:p>
    <w:p>
      <w:bookmarkStart w:id="15" w:name="sec_15"/>
      <w:pPr>
        <w:pStyle w:val="Heading1"/>
      </w:pPr>
      <w:r>
        <w:t>15. Test Scenario</w:t>
      </w:r>
      <w:bookmarkEnd w:id="15"/>
    </w:p>
    <w:tbl>
      <w:tblPr>
        <w:tblStyle w:val="LightList"/>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Objective</w:t>
            </w:r>
          </w:p>
        </w:tc>
        <w:tc>
          <w:tcPr>
            <w:tcW w:type="dxa" w:w="1440"/>
          </w:tcPr>
          <w:p>
            <w:r>
              <w:t>Input Data</w:t>
            </w:r>
          </w:p>
        </w:tc>
        <w:tc>
          <w:tcPr>
            <w:tcW w:type="dxa" w:w="1440"/>
          </w:tcPr>
          <w:p>
            <w:r>
              <w:t>Expected Output</w:t>
            </w:r>
          </w:p>
        </w:tc>
        <w:tc>
          <w:tcPr>
            <w:tcW w:type="dxa" w:w="1440"/>
          </w:tcPr>
          <w:p>
            <w:r>
              <w:t>Actual Result/Status</w:t>
            </w:r>
          </w:p>
        </w:tc>
        <w:tc>
          <w:tcPr>
            <w:tcW w:type="dxa" w:w="1440"/>
          </w:tcPr>
          <w:p>
            <w:r>
              <w:t>Sign-off/Comments</w:t>
            </w:r>
          </w:p>
        </w:tc>
      </w:tr>
      <w:tr>
        <w:tc>
          <w:tcPr>
            <w:tcW w:type="dxa" w:w="1440"/>
          </w:tcPr>
          <w:p>
            <w:r>
              <w:t>TC_001</w:t>
            </w:r>
          </w:p>
        </w:tc>
        <w:tc>
          <w:tcPr>
            <w:tcW w:type="dxa" w:w="1440"/>
          </w:tcPr>
          <w:p>
            <w:r>
              <w:t>Validate system behavior with no selection screen inputs</w:t>
            </w:r>
          </w:p>
        </w:tc>
        <w:tc>
          <w:tcPr>
            <w:tcW w:type="dxa" w:w="1440"/>
          </w:tcPr>
          <w:p>
            <w:r>
              <w:t>N/A</w:t>
            </w:r>
          </w:p>
        </w:tc>
        <w:tc>
          <w:tcPr>
            <w:tcW w:type="dxa" w:w="1440"/>
          </w:tcPr>
          <w:p>
            <w:r>
              <w:t>System should handle absence of selection screen inputs gracefully</w:t>
            </w:r>
          </w:p>
        </w:tc>
        <w:tc>
          <w:tcPr>
            <w:tcW w:type="dxa" w:w="1440"/>
          </w:tcPr>
          <w:p>
            <w:r>
              <w:t>Pending</w:t>
            </w:r>
          </w:p>
        </w:tc>
        <w:tc>
          <w:tcPr>
            <w:tcW w:type="dxa" w:w="1440"/>
          </w:tcPr>
          <w:p>
            <w:r>
              <w:t>No selection screen fields defined in payload</w:t>
            </w:r>
          </w:p>
        </w:tc>
      </w:tr>
      <w:tr>
        <w:tc>
          <w:tcPr>
            <w:tcW w:type="dxa" w:w="1440"/>
          </w:tcPr>
          <w:p>
            <w:r>
              <w:t>TC_002</w:t>
            </w:r>
          </w:p>
        </w:tc>
        <w:tc>
          <w:tcPr>
            <w:tcW w:type="dxa" w:w="1440"/>
          </w:tcPr>
          <w:p>
            <w:r>
              <w:t>Verify system response with no data declarations</w:t>
            </w:r>
          </w:p>
        </w:tc>
        <w:tc>
          <w:tcPr>
            <w:tcW w:type="dxa" w:w="1440"/>
          </w:tcPr>
          <w:p>
            <w:r>
              <w:t>N/A</w:t>
            </w:r>
          </w:p>
        </w:tc>
        <w:tc>
          <w:tcPr>
            <w:tcW w:type="dxa" w:w="1440"/>
          </w:tcPr>
          <w:p>
            <w:r>
              <w:t>System should not reference or process undeclared variables</w:t>
            </w:r>
          </w:p>
        </w:tc>
        <w:tc>
          <w:tcPr>
            <w:tcW w:type="dxa" w:w="1440"/>
          </w:tcPr>
          <w:p>
            <w:r>
              <w:t>Pending</w:t>
            </w:r>
          </w:p>
        </w:tc>
        <w:tc>
          <w:tcPr>
            <w:tcW w:type="dxa" w:w="1440"/>
          </w:tcPr>
          <w:p>
            <w:r>
              <w:t>No declarations present in payload</w:t>
            </w:r>
          </w:p>
        </w:tc>
      </w:tr>
      <w:tr>
        <w:tc>
          <w:tcPr>
            <w:tcW w:type="dxa" w:w="1440"/>
          </w:tcPr>
          <w:p>
            <w:r>
              <w:t>TC_003</w:t>
            </w:r>
          </w:p>
        </w:tc>
        <w:tc>
          <w:tcPr>
            <w:tcW w:type="dxa" w:w="1440"/>
          </w:tcPr>
          <w:p>
            <w:r>
              <w:t>Assess system explanation handling with empty explanation</w:t>
            </w:r>
          </w:p>
        </w:tc>
        <w:tc>
          <w:tcPr>
            <w:tcW w:type="dxa" w:w="1440"/>
          </w:tcPr>
          <w:p>
            <w:r>
              <w:t>N/A</w:t>
            </w:r>
          </w:p>
        </w:tc>
        <w:tc>
          <w:tcPr>
            <w:tcW w:type="dxa" w:w="1440"/>
          </w:tcPr>
          <w:p>
            <w:r>
              <w:t>System should not display or process any explanation text</w:t>
            </w:r>
          </w:p>
        </w:tc>
        <w:tc>
          <w:tcPr>
            <w:tcW w:type="dxa" w:w="1440"/>
          </w:tcPr>
          <w:p>
            <w:r>
              <w:t>Pending</w:t>
            </w:r>
          </w:p>
        </w:tc>
        <w:tc>
          <w:tcPr>
            <w:tcW w:type="dxa" w:w="1440"/>
          </w:tcPr>
          <w:p>
            <w:r>
              <w:t>No explanation provided in payload</w:t>
            </w:r>
          </w:p>
        </w:tc>
      </w:tr>
    </w:tbl>
    <w:p>
      <w:bookmarkStart w:id="16" w:name="sec_16"/>
      <w:pPr>
        <w:pStyle w:val="Heading1"/>
      </w:pPr>
      <w:r>
        <w:t>16. Sign-Off</w:t>
      </w:r>
      <w:bookmarkEnd w:id="16"/>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p>
        </w:tc>
        <w:tc>
          <w:tcPr>
            <w:tcW w:type="dxa" w:w="2160"/>
          </w:tcPr>
          <w:p>
            <w:r/>
          </w:p>
        </w:tc>
        <w:tc>
          <w:tcPr>
            <w:tcW w:type="dxa" w:w="2160"/>
          </w:tcPr>
          <w:p>
            <w:r/>
          </w:p>
        </w:tc>
      </w:tr>
      <w:tr>
        <w:tc>
          <w:tcPr>
            <w:tcW w:type="dxa" w:w="2160"/>
          </w:tcPr>
          <w:p>
            <w:r>
              <w:t>Approved By</w:t>
            </w:r>
          </w:p>
        </w:tc>
        <w:tc>
          <w:tcPr>
            <w:tcW w:type="dxa" w:w="2160"/>
          </w:tcPr>
          <w:p>
            <w:r/>
          </w:p>
        </w:tc>
        <w:tc>
          <w:tcPr>
            <w:tcW w:type="dxa" w:w="2160"/>
          </w:tcPr>
          <w:p>
            <w:r/>
          </w:p>
        </w:tc>
        <w:tc>
          <w:tcPr>
            <w:tcW w:type="dxa" w:w="2160"/>
          </w:tcPr>
          <w:p>
            <w:r/>
          </w:p>
        </w:tc>
      </w:tr>
      <w:tr>
        <w:tc>
          <w:tcPr>
            <w:tcW w:type="dxa" w:w="2160"/>
          </w:tcPr>
          <w:p>
            <w:r>
              <w:t>Client Sign-Off</w:t>
            </w:r>
          </w:p>
        </w:tc>
        <w:tc>
          <w:tcPr>
            <w:tcW w:type="dxa" w:w="2160"/>
          </w:tcPr>
          <w:p>
            <w:r/>
          </w:p>
        </w:tc>
        <w:tc>
          <w:tcPr>
            <w:tcW w:type="dxa" w:w="2160"/>
          </w:tcPr>
          <w:p>
            <w:r/>
          </w:p>
        </w:tc>
        <w:tc>
          <w:tcPr>
            <w:tcW w:type="dxa" w:w="2160"/>
          </w:tcPr>
          <w:p>
            <w:r/>
          </w:p>
        </w:tc>
      </w:tr>
    </w:tbl>
    <w:p>
      <w:r>
        <w:br/>
        <w:t>Document generated by PWC AI-powered ABAP Tech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