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Functional Specification Document</w:t>
      </w:r>
    </w:p>
    <w:p>
      <w:pPr>
        <w:pStyle w:val="Heading1"/>
      </w:pPr>
      <w:r>
        <w:t>Index</w:t>
      </w:r>
    </w:p>
    <w:p>
      <w:pPr>
        <w:tabs>
          <w:tab w:pos="8640" w:val="right" w:leader="dot"/>
        </w:tabs>
      </w:pPr>
      <w:r>
        <w:t>1. Document Information</w:t>
        <w:tab/>
      </w:r>
      <w:r>
        <w:fldChar w:fldCharType="begin"/>
        <w:instrText xml:space="preserve">PAGEREF sec_1 \h</w:instrText>
        <w:fldChar w:fldCharType="separate"/>
        <w:t>1</w:t>
        <w:fldChar w:fldCharType="end"/>
      </w:r>
    </w:p>
    <w:p>
      <w:pPr>
        <w:tabs>
          <w:tab w:pos="8640" w:val="right" w:leader="dot"/>
        </w:tabs>
      </w:pPr>
      <w:r>
        <w:t>2. Introduction</w:t>
        <w:tab/>
      </w:r>
      <w:r>
        <w:fldChar w:fldCharType="begin"/>
        <w:instrText xml:space="preserve">PAGEREF sec_2 \h</w:instrText>
        <w:fldChar w:fldCharType="separate"/>
        <w:t>1</w:t>
        <w:fldChar w:fldCharType="end"/>
      </w:r>
    </w:p>
    <w:p>
      <w:pPr>
        <w:tabs>
          <w:tab w:pos="8640" w:val="right" w:leader="dot"/>
        </w:tabs>
      </w:pPr>
      <w:r>
        <w:t>3. Business Requirement Overview</w:t>
        <w:tab/>
      </w:r>
      <w:r>
        <w:fldChar w:fldCharType="begin"/>
        <w:instrText xml:space="preserve">PAGEREF sec_3 \h</w:instrText>
        <w:fldChar w:fldCharType="separate"/>
        <w:t>1</w:t>
        <w:fldChar w:fldCharType="end"/>
      </w:r>
    </w:p>
    <w:p>
      <w:pPr>
        <w:tabs>
          <w:tab w:pos="8640" w:val="right" w:leader="dot"/>
        </w:tabs>
      </w:pPr>
      <w:r>
        <w:t>4. Business Process Flow</w:t>
        <w:tab/>
      </w:r>
      <w:r>
        <w:fldChar w:fldCharType="begin"/>
        <w:instrText xml:space="preserve">PAGEREF sec_4 \h</w:instrText>
        <w:fldChar w:fldCharType="separate"/>
        <w:t>1</w:t>
        <w:fldChar w:fldCharType="end"/>
      </w:r>
    </w:p>
    <w:p>
      <w:pPr>
        <w:tabs>
          <w:tab w:pos="8640" w:val="right" w:leader="dot"/>
        </w:tabs>
      </w:pPr>
      <w:r>
        <w:t>5. Functional Scope</w:t>
        <w:tab/>
      </w:r>
      <w:r>
        <w:fldChar w:fldCharType="begin"/>
        <w:instrText xml:space="preserve">PAGEREF sec_5 \h</w:instrText>
        <w:fldChar w:fldCharType="separate"/>
        <w:t>1</w:t>
        <w:fldChar w:fldCharType="end"/>
      </w:r>
    </w:p>
    <w:p>
      <w:pPr>
        <w:tabs>
          <w:tab w:pos="8640" w:val="right" w:leader="dot"/>
        </w:tabs>
      </w:pPr>
      <w:r>
        <w:t>6. Functional Solution Approach</w:t>
        <w:tab/>
      </w:r>
      <w:r>
        <w:fldChar w:fldCharType="begin"/>
        <w:instrText xml:space="preserve">PAGEREF sec_6 \h</w:instrText>
        <w:fldChar w:fldCharType="separate"/>
        <w:t>1</w:t>
        <w:fldChar w:fldCharType="end"/>
      </w:r>
    </w:p>
    <w:p>
      <w:pPr>
        <w:tabs>
          <w:tab w:pos="8640" w:val="right" w:leader="dot"/>
        </w:tabs>
      </w:pPr>
      <w:r>
        <w:t>7. Functional Requirements</w:t>
        <w:tab/>
      </w:r>
      <w:r>
        <w:fldChar w:fldCharType="begin"/>
        <w:instrText xml:space="preserve">PAGEREF sec_7 \h</w:instrText>
        <w:fldChar w:fldCharType="separate"/>
        <w:t>1</w:t>
        <w:fldChar w:fldCharType="end"/>
      </w:r>
    </w:p>
    <w:p>
      <w:pPr>
        <w:tabs>
          <w:tab w:pos="8640" w:val="right" w:leader="dot"/>
        </w:tabs>
      </w:pPr>
      <w:r>
        <w:t>8. Field Logic</w:t>
        <w:tab/>
      </w:r>
      <w:r>
        <w:fldChar w:fldCharType="begin"/>
        <w:instrText xml:space="preserve">PAGEREF sec_8 \h</w:instrText>
        <w:fldChar w:fldCharType="separate"/>
        <w:t>1</w:t>
        <w:fldChar w:fldCharType="end"/>
      </w:r>
    </w:p>
    <w:p>
      <w:pPr>
        <w:tabs>
          <w:tab w:pos="8640" w:val="right" w:leader="dot"/>
        </w:tabs>
      </w:pPr>
      <w:r>
        <w:t>9. Interfaces &amp; Integration</w:t>
        <w:tab/>
      </w:r>
      <w:r>
        <w:fldChar w:fldCharType="begin"/>
        <w:instrText xml:space="preserve">PAGEREF sec_9 \h</w:instrText>
        <w:fldChar w:fldCharType="separate"/>
        <w:t>1</w:t>
        <w:fldChar w:fldCharType="end"/>
      </w:r>
    </w:p>
    <w:p>
      <w:pPr>
        <w:tabs>
          <w:tab w:pos="8640" w:val="right" w:leader="dot"/>
        </w:tabs>
      </w:pPr>
      <w:r>
        <w:t>10. Output</w:t>
        <w:tab/>
      </w:r>
      <w:r>
        <w:fldChar w:fldCharType="begin"/>
        <w:instrText xml:space="preserve">PAGEREF sec_10 \h</w:instrText>
        <w:fldChar w:fldCharType="separate"/>
        <w:t>1</w:t>
        <w:fldChar w:fldCharType="end"/>
      </w:r>
    </w:p>
    <w:p>
      <w:pPr>
        <w:tabs>
          <w:tab w:pos="8640" w:val="right" w:leader="dot"/>
        </w:tabs>
      </w:pPr>
      <w:r>
        <w:t>11. UI Requirement</w:t>
        <w:tab/>
      </w:r>
      <w:r>
        <w:fldChar w:fldCharType="begin"/>
        <w:instrText xml:space="preserve">PAGEREF sec_11 \h</w:instrText>
        <w:fldChar w:fldCharType="separate"/>
        <w:t>1</w:t>
        <w:fldChar w:fldCharType="end"/>
      </w:r>
    </w:p>
    <w:p>
      <w:pPr>
        <w:tabs>
          <w:tab w:pos="8640" w:val="right" w:leader="dot"/>
        </w:tabs>
      </w:pPr>
      <w:r>
        <w:t>12. Authorization &amp; Security</w:t>
        <w:tab/>
      </w:r>
      <w:r>
        <w:fldChar w:fldCharType="begin"/>
        <w:instrText xml:space="preserve">PAGEREF sec_12 \h</w:instrText>
        <w:fldChar w:fldCharType="separate"/>
        <w:t>1</w:t>
        <w:fldChar w:fldCharType="end"/>
      </w:r>
    </w:p>
    <w:p>
      <w:pPr>
        <w:tabs>
          <w:tab w:pos="8640" w:val="right" w:leader="dot"/>
        </w:tabs>
      </w:pPr>
      <w:r>
        <w:t>13. Error Handling &amp; Notifications</w:t>
        <w:tab/>
      </w:r>
      <w:r>
        <w:fldChar w:fldCharType="begin"/>
        <w:instrText xml:space="preserve">PAGEREF sec_13 \h</w:instrText>
        <w:fldChar w:fldCharType="separate"/>
        <w:t>1</w:t>
        <w:fldChar w:fldCharType="end"/>
      </w:r>
    </w:p>
    <w:p>
      <w:pPr>
        <w:tabs>
          <w:tab w:pos="8640" w:val="right" w:leader="dot"/>
        </w:tabs>
      </w:pPr>
      <w:r>
        <w:t>14. Assumptions &amp; Dependencies</w:t>
        <w:tab/>
      </w:r>
      <w:r>
        <w:fldChar w:fldCharType="begin"/>
        <w:instrText xml:space="preserve">PAGEREF sec_14 \h</w:instrText>
        <w:fldChar w:fldCharType="separate"/>
        <w:t>1</w:t>
        <w:fldChar w:fldCharType="end"/>
      </w:r>
    </w:p>
    <w:p>
      <w:pPr>
        <w:tabs>
          <w:tab w:pos="8640" w:val="right" w:leader="dot"/>
        </w:tabs>
      </w:pPr>
      <w:r>
        <w:t>15. Test Scenario</w:t>
        <w:tab/>
      </w:r>
      <w:r>
        <w:fldChar w:fldCharType="begin"/>
        <w:instrText xml:space="preserve">PAGEREF sec_15 \h</w:instrText>
        <w:fldChar w:fldCharType="separate"/>
        <w:t>1</w:t>
        <w:fldChar w:fldCharType="end"/>
      </w:r>
    </w:p>
    <w:p>
      <w:pPr>
        <w:tabs>
          <w:tab w:pos="8640" w:val="right" w:leader="dot"/>
        </w:tabs>
      </w:pPr>
      <w:r>
        <w:t>16. Sign-Off</w:t>
        <w:tab/>
      </w:r>
      <w:r>
        <w:fldChar w:fldCharType="begin"/>
        <w:instrText xml:space="preserve">PAGEREF sec_16 \h</w:instrText>
        <w:fldChar w:fldCharType="separate"/>
        <w:t>1</w:t>
        <w:fldChar w:fldCharType="end"/>
      </w:r>
    </w:p>
    <w:p>
      <w:bookmarkStart w:id="1" w:name="sec_1"/>
      <w:pPr>
        <w:pStyle w:val="Heading1"/>
      </w:pPr>
      <w:r>
        <w:t>1. Document Information</w:t>
      </w:r>
      <w:bookmarkEnd w:id="1"/>
    </w:p>
    <w:tbl>
      <w:tblPr>
        <w:tblStyle w:val="LightList"/>
        <w:tblW w:type="auto" w:w="0"/>
        <w:tblLook w:firstColumn="1" w:firstRow="1" w:lastColumn="0" w:lastRow="0" w:noHBand="0" w:noVBand="1" w:val="04A0"/>
      </w:tblPr>
      <w:tblGrid>
        <w:gridCol w:w="1728"/>
        <w:gridCol w:w="1728"/>
        <w:gridCol w:w="1728"/>
        <w:gridCol w:w="1728"/>
        <w:gridCol w:w="1728"/>
      </w:tblGrid>
      <w:tr>
        <w:tc>
          <w:tcPr>
            <w:tcW w:type="dxa" w:w="1728"/>
          </w:tcPr>
          <w:p>
            <w:r>
              <w:t>Document Title</w:t>
            </w:r>
          </w:p>
        </w:tc>
        <w:tc>
          <w:tcPr>
            <w:tcW w:type="dxa" w:w="1728"/>
          </w:tcPr>
          <w:p>
            <w:r>
              <w:t>Project Name</w:t>
            </w:r>
          </w:p>
        </w:tc>
        <w:tc>
          <w:tcPr>
            <w:tcW w:type="dxa" w:w="1728"/>
          </w:tcPr>
          <w:p>
            <w:r>
              <w:t>Client Name</w:t>
            </w:r>
          </w:p>
        </w:tc>
        <w:tc>
          <w:tcPr>
            <w:tcW w:type="dxa" w:w="1728"/>
          </w:tcPr>
          <w:p>
            <w:r>
              <w:t>Prepared By (Author, Department)</w:t>
            </w:r>
          </w:p>
        </w:tc>
        <w:tc>
          <w:tcPr>
            <w:tcW w:type="dxa" w:w="1728"/>
          </w:tcPr>
          <w:p>
            <w:r>
              <w:t>Document Version &amp; Date</w:t>
            </w:r>
          </w:p>
        </w:tc>
      </w:tr>
      <w:tr>
        <w:tc>
          <w:tcPr>
            <w:tcW w:type="dxa" w:w="1728"/>
          </w:tcPr>
          <w:p>
            <w:r/>
          </w:p>
        </w:tc>
        <w:tc>
          <w:tcPr>
            <w:tcW w:type="dxa" w:w="1728"/>
          </w:tcPr>
          <w:p>
            <w:r/>
          </w:p>
        </w:tc>
        <w:tc>
          <w:tcPr>
            <w:tcW w:type="dxa" w:w="1728"/>
          </w:tcPr>
          <w:p>
            <w:r/>
          </w:p>
        </w:tc>
        <w:tc>
          <w:tcPr>
            <w:tcW w:type="dxa" w:w="1728"/>
          </w:tcPr>
          <w:p>
            <w:r>
              <w:t>PWC AI Asset</w:t>
            </w:r>
          </w:p>
        </w:tc>
        <w:tc>
          <w:tcPr>
            <w:tcW w:type="dxa" w:w="1728"/>
          </w:tcPr>
          <w:p>
            <w:r/>
          </w:p>
        </w:tc>
      </w:tr>
    </w:tbl>
    <w:p>
      <w:bookmarkStart w:id="2" w:name="sec_2"/>
      <w:pPr>
        <w:pStyle w:val="Heading1"/>
      </w:pPr>
      <w:r>
        <w:t>2. Introduction</w:t>
      </w:r>
      <w:bookmarkEnd w:id="2"/>
    </w:p>
    <w:p>
      <w:r>
        <w:t>This document serves as a functional specification for an SAP ABAP development. It outlines the purpose, scope, and intended audience for the solution. The document is intended for business users, functional consultants, and technical teams involved in the implementation and review of the specified SAP ABAP functionality.</w:t>
      </w:r>
    </w:p>
    <w:p>
      <w:bookmarkStart w:id="3" w:name="sec_3"/>
      <w:pPr>
        <w:pStyle w:val="Heading1"/>
      </w:pPr>
      <w:r>
        <w:t>3. Business Requirement Overview</w:t>
      </w:r>
      <w:bookmarkEnd w:id="3"/>
    </w:p>
    <w:p>
      <w:r>
        <w:t>The business requirements, process pain points, and objectives of the proposed solution are to be defined based on the provided information. As no specific requirements are detailed in the payload, this section remains to be updated with the relevant business context and objectives.</w:t>
      </w:r>
    </w:p>
    <w:p>
      <w:bookmarkStart w:id="4" w:name="sec_4"/>
      <w:pPr>
        <w:pStyle w:val="Heading1"/>
      </w:pPr>
      <w:r>
        <w:t>4. Business Process Flow</w:t>
      </w:r>
      <w:bookmarkEnd w:id="4"/>
    </w:p>
    <w:p>
      <w:r>
        <w:t>No business process flow can be depicted as there are no process steps or details provided in the payload.</w:t>
      </w:r>
    </w:p>
    <w:p>
      <w:bookmarkStart w:id="5" w:name="sec_5"/>
      <w:pPr>
        <w:pStyle w:val="Heading1"/>
      </w:pPr>
      <w:r>
        <w:t>5. Functional Scope</w:t>
      </w:r>
      <w:bookmarkEnd w:id="5"/>
    </w:p>
    <w:p>
      <w:r>
        <w:t>1. In-Scope items</w:t>
      </w:r>
    </w:p>
    <w:p>
      <w:r>
        <w:t>No items are included in the functional scope as the provided payload does not contain any relevant information.</w:t>
      </w:r>
    </w:p>
    <w:p>
      <w:r>
        <w:t>2. Out-of-Scope items</w:t>
      </w:r>
    </w:p>
    <w:p>
      <w:r>
        <w:t>All items are considered out of scope due to the absence of any data or requirements in the provided payload.</w:t>
      </w:r>
    </w:p>
    <w:p>
      <w:bookmarkStart w:id="6" w:name="sec_6"/>
      <w:pPr>
        <w:pStyle w:val="Heading1"/>
      </w:pPr>
      <w:r>
        <w:t>6. Functional Solution Approach</w:t>
      </w:r>
      <w:bookmarkEnd w:id="6"/>
    </w:p>
    <w:p>
      <w:r>
        <w:t>No functional solution approach can be provided as the payload does not contain any business requirement or functional scope information.</w:t>
      </w:r>
    </w:p>
    <w:p>
      <w:bookmarkStart w:id="7" w:name="sec_7"/>
      <w:pPr>
        <w:pStyle w:val="Heading1"/>
      </w:pPr>
      <w:r>
        <w:t>7. Functional Requirements</w:t>
      </w:r>
      <w:bookmarkEnd w:id="7"/>
    </w:p>
    <w:p>
      <w:r>
        <w:t>pgm_name: [To Be Filled]</w:t>
      </w:r>
    </w:p>
    <w:p>
      <w:r>
        <w:t>type: [To Be Filled]</w:t>
      </w:r>
    </w:p>
    <w:p>
      <w:r>
        <w:t>explanation: [To Be Filled]</w:t>
      </w:r>
    </w:p>
    <w:p>
      <w:bookmarkStart w:id="8" w:name="sec_8"/>
      <w:pPr>
        <w:pStyle w:val="Heading1"/>
      </w:pPr>
      <w:r>
        <w:t>8. Field Logic</w:t>
      </w:r>
      <w:bookmarkEnd w:id="8"/>
    </w:p>
    <w:tbl>
      <w:tblPr>
        <w:tblStyle w:val="LightList"/>
        <w:tblW w:type="auto" w:w="0"/>
        <w:tblLook w:firstColumn="1" w:firstRow="1" w:lastColumn="0" w:lastRow="0" w:noHBand="0" w:noVBand="1" w:val="04A0"/>
      </w:tblPr>
      <w:tblGrid>
        <w:gridCol w:w="4320"/>
        <w:gridCol w:w="4320"/>
      </w:tblGrid>
      <w:tr>
        <w:tc>
          <w:tcPr>
            <w:tcW w:type="dxa" w:w="4320"/>
          </w:tcPr>
          <w:p>
            <w:r>
              <w:t>Field Name</w:t>
            </w:r>
          </w:p>
        </w:tc>
        <w:tc>
          <w:tcPr>
            <w:tcW w:type="dxa" w:w="4320"/>
          </w:tcPr>
          <w:p>
            <w:r>
              <w:t>Field Logic</w:t>
            </w:r>
          </w:p>
        </w:tc>
      </w:tr>
      <w:tr>
        <w:tc>
          <w:tcPr>
            <w:tcW w:type="dxa" w:w="4320"/>
          </w:tcPr>
          <w:p>
            <w:r>
              <w:t>MATNR</w:t>
            </w:r>
          </w:p>
        </w:tc>
        <w:tc>
          <w:tcPr>
            <w:tcW w:type="dxa" w:w="4320"/>
          </w:tcPr>
          <w:p>
            <w:r>
              <w:t>Material number fetched from MARA (with MATKL in SO_MATKL and MATNR in SO_MATNR) and from MAST (with MATNR = IT_MARAT-MATNR or IT_MARA-MATNR), used as the primary identifier for materials throughout the BOM creation process. It is also used in filtering, grouping, and validation logic, such as checking for existing BOMs, matching with ZPP_SALES_BOM, and as a key in BOM header and component processing. Material number selected from MARA (A~MATNR), joined with MARC, MAST, STKO, STAS, and STPO. Filtered by input parameter PHEADER (A~MATNR = PHEADER), material type (A~MTART = 'FERT' OR 'HALB'), and material status (A~MSTAE NE '03'). Used as a key for BOM explosion and for deletion in post-processing if the material type is not 'HALB', 'FERT', or 'ZFRT'. Fetched from MARA table where MATNR is in the user selection SO_MATNR and MTART equals 'FERT'. Used as the primary material number to be extended. In the loop, MATNR is used to derive MCODE and LCODE for matching against ZPP_SALES_BOM entries. If no match is found for the first 3 or 2 characters (MATNR+0(3) or MATNR+0(2)) and the 15th character (MATNR+14(1)), the material is removed from the processing list. In the second loop, for each IT_PBOM2 item where MATNR = HEADER, MATNR is overwritten with the MATNR from the corresponding WA_PBOM1 (header-matching item from IT_PBOM1). This ensures the BOM2 item inherits the material number from the BOM1 header, maintaining BOM consistency. Material number from IT_MAST is used to check if a Sales BOM already exists for the given material (HEADER) and plant (PWERKS) with BOM usage '5'. The field is used in the READ TABLE statement with the condition MATNR = HEADER. MATNR is used in multiple places: (1) In the LOOP AT IT_BOM1, it is filtered so that the 15th character (MATNR+14(1)) is '1', '9', '2', or '5', which likely represents specific product types or categories for trade and export. (2) In the SELECT statement, A~MATNR is selected from MARA and used to join with MARC and MAST, and is also used in the final deletion from IT_MARAMATNR1 to keep only those where the first two characters (MATNR+0(2)) are 'RD'. This field is central to identifying the material master records relevant for the BOM explosion and filtering. In IT_PBOM1, only rows where the 15th character of MATNR is '1', '2', '5', or '9' are processed. For each such row, a lookup is performed in IT_PBOM2 for entries where the 4th to 8th characters and 14th to 15th characters of MATNR match those of the current IT_PBOM1 row, and IDNRK matches. If the first two characters of MATNR in IT_PBOM1 are 'RS', then an additional check is performed to match the 11th to 13th characters of MATNR between IT_PBOM1 and IT_PBOM2. Fetched from MARA (A~MATNR) and MARC (B~MATNR) in the SELECT statement with INNER JOIN. Used as a key for joining MARA and MARC. Only records where B~WERKS = P_WERKS, A~MTART = 'ZFRT', A~MSTAE NE '03', and B~MMSTA NE '03' are selected. After selection, only those with MATNR+0(2) = 'RD' are retained in IT_PMARAMARC. In the main LOOP, &lt;FS_PBOM1&gt;-MATNR is used for substring checks (MATNR+14(1) = '1', '2', '5', or '9') and for matching with IT_PMARAMARC (MATNR+3(5) and MATNR+13(2)). Also, &lt;FS_PBOM1&gt;-MATNR+0(2) is checked for 'RS' and &lt;FS_PBOM1&gt;-MATNR+10(3) is compared to WA_PMARAMARC-MATNR+10(3) for further logic. Represents the material code involved in the BOM copy process. It is included as a column in the ALV field catalog to display the material number for each entry in the output. This field is essential for identifying which material's BOM is being processed or copied. Fetched from MARA (A~MATNR) and joined with MARC (B~MATNR) for all entries in IT_PBOM1 where B~WERKS = P_WERKS and A~MATNR = IT_PBOM1-IDNRK. Used to identify the material number of each component being checked for block status. If the component is blocked (MSTAE = '03' or MMSTA = '03'), MATNR is included in the error message and log for business reporting. MATNR is fetched from MARC table in multiple SELECT statements. First, it is selected with SELECT SINGLE into LV_MATNR where MATNR = WA_MARAMATNR1-IDNRK and WERKS = T_WERKS. If not found, the value WA_MARAMATNR1-IDNRK is appended to IT_MARACHK for further processing. Later, MATNR is selected in bulk from MARC into IT_MARACHK2 for all entries in IT_MARACHK, filtered by MATNR and WERKS. In the next step, for each entry in IT_MARACHK2, if BESKZ is not 'E', a SELECT SINGLE is performed to find a plant (WERKS) for the same MATNR where BESKZ = 'E' and MMSTA not equal to '03'. The MATNR field is used as a key for BOM extension and is passed to the ZMATMAS_EXTEND_REVISED program for further processing. Material number selected from MARA table, used as a key field for BOM copy logic. It is filtered by the select-option SO_MATNR (obligatory) on the selection screen, and is used throughout the program to identify which materials' BOMs are to be copied or processed. Material number is fetched from the BOM header or item tables (such as STPO or STPOZ) during the data extraction process in the 'get_data' subroutine. It is used to identify the parent or component material in the BOM copy process. The field is used in SELECT statements to filter and retrieve BOMs relevant to the material being copied, and it is also used in the output to create or update the SBOM (secondary BOM) with the correct material reference.</w:t>
            </w:r>
          </w:p>
        </w:tc>
      </w:tr>
      <w:tr>
        <w:tc>
          <w:tcPr>
            <w:tcW w:type="dxa" w:w="4320"/>
          </w:tcPr>
          <w:p>
            <w:r>
              <w:t>WERKS</w:t>
            </w:r>
          </w:p>
        </w:tc>
        <w:tc>
          <w:tcPr>
            <w:tcW w:type="dxa" w:w="4320"/>
          </w:tcPr>
          <w:p>
            <w:r>
              <w:t>Plant code fetched from MAST (with WERKS = P_WERKS, T_WERKS, or from MKAL for specific material and date conditions), used to determine the plant context for BOM creation, validation, and to ensure BOMs are created or checked for the correct plant. It is also used in error messages and output logs. Plant from MARC (B~WERKS). Used in the WHERE clause to filter by input parameter PWERKS (B~WERKS = PWERKS). Ensures BOM explosion is plant-specific. For each IT_PBOM2 item where MATNR = HEADER, WERKS is set to the value from the corresponding WA_PBOM1 (header-matching item from IT_PBOM1). This copies the plant from the BOM1 header to the BOM2 item. Plant from IT_MAST is used in conjunction with MATNR and STLAN to check for the existence of a Sales BOM. The field is filtered with the condition WERKS = PWERKS in the READ TABLE statement. WERKS is selected as B~WERKS from MARC and is used in the SELECT WHERE clause to ensure that only BOMs for the plant specified by the input parameter P_WERKS are processed. It is also used in the join between MARC and MAST. This field ensures that the BOM explosion is plant-specific. Fetched from MARC (B~WERKS) in the SELECT statement. Only records where B~WERKS = P_WERKS are selected, ensuring plant-specific data is processed. Represents the source plant from which the BOM is being copied. It is included as a column in the ALV field catalog to display the plant code for each entry. This field is used to identify the origin of the BOM data. WERKS represents the plant code. It is used in the error message to specify for which plant the production BOM does not exist. The logic checks if the internal table IT_BOM2 is initial (empty), and if so, WERKS is concatenated into the error message to indicate the relevant plant context. Fetched from MARC (B~WERKS) during the SELECT. Used in the WHERE clause to restrict results to the plant specified by P_WERKS. Also used in the error message to indicate in which plant the component is blocked. WERKS is fetched from MARC in SELECT SINGLE and SELECT FOR ALL ENTRIES statements. Initially, it is used as a filter in SELECT SINGLE (WERKS = T_WERKS) and later in the FOR ALL ENTRIES selection into IT_MARACHK2. In the loop over IT_MARACHK2, if BESKZ is not 'E', a SELECT SINGLE fetches WERKS for the same MATNR where BESKZ = 'E' and MMSTA not equal to '03'. If found, this WERKS value replaces the current entry's WERKS. WERKS is then used as a key in the SUBMIT statement to ZMATMAS_EXTEND_REVISED, indicating the plant for which the BOM extension is to be performed. Plant from MARC table, used as both a selection parameter (P_WERKS, obligatory) and as a field in internal structures. It determines the plant context for which BOMs are to be copied or processed, affecting filtering and BOM creation logic. Plant is fetched along with the material number from BOM tables. It is used to filter BOMs specific to a plant and ensures that the BOM copy operation is performed for the correct plant context. The field is used in WHERE conditions of SELECT statements and is also passed to the BOM creation logic to ensure the SBOM is created for the correct plant.</w:t>
            </w:r>
          </w:p>
        </w:tc>
      </w:tr>
      <w:tr>
        <w:tc>
          <w:tcPr>
            <w:tcW w:type="dxa" w:w="4320"/>
          </w:tcPr>
          <w:p>
            <w:r>
              <w:t>STLAN</w:t>
            </w:r>
          </w:p>
        </w:tc>
        <w:tc>
          <w:tcPr>
            <w:tcW w:type="dxa" w:w="4320"/>
          </w:tcPr>
          <w:p>
            <w:r>
              <w:t>BOM usage field fetched from MAST (with STLAN = '5', T_STLAN, or P_STLAN), used to distinguish between different BOM types (e.g., production vs. sales BOM), and as a filter in BOM selection and creation logic. It is also used to control logic flow for BOM creation and integration. BOM usage from MAST (E~STLAN). Used in the WHERE clause to include only BOMs with usage '1' (E~STLAN EQ '1'). BOM usage from IT_MAST is used to specifically check for Sales BOMs by filtering with STLAN = '5' in the READ TABLE statement. STLAN is selected as E~STLAN from MAST and is filtered in the SELECT WHERE clause to only include BOM usages equal to '5'. This restricts the logic to a specific BOM usage, likely sales BOMs. BOM usage from MAST table, used as a selection parameter (P_STLAN, obligatory) and as a field in internal structures. It specifies the BOM usage type (e.g., production, sales) for which the BOM copy or processing is to be performed.</w:t>
            </w:r>
          </w:p>
        </w:tc>
      </w:tr>
      <w:tr>
        <w:tc>
          <w:tcPr>
            <w:tcW w:type="dxa" w:w="4320"/>
          </w:tcPr>
          <w:p>
            <w:r>
              <w:t>STLNR</w:t>
            </w:r>
          </w:p>
        </w:tc>
        <w:tc>
          <w:tcPr>
            <w:tcW w:type="dxa" w:w="4320"/>
          </w:tcPr>
          <w:p>
            <w:r>
              <w:t>BOM number fetched from MAST and used as a key to link BOM header (STKO), BOM items (STPO), and BOM status (STAS) tables. It is used in WHERE conditions to fetch related BOM data and to ensure correct BOM structure is processed. BOM number is selected from BOM header tables (such as STPO or STPOZ) and is used to uniquely identify the BOM to be copied. It is used in SELECT and WHERE clauses to fetch BOM details and is also used in the output logic to create or update the SBOM with the correct BOM number.</w:t>
            </w:r>
          </w:p>
        </w:tc>
      </w:tr>
      <w:tr>
        <w:tc>
          <w:tcPr>
            <w:tcW w:type="dxa" w:w="4320"/>
          </w:tcPr>
          <w:p>
            <w:r>
              <w:t>STLAL</w:t>
            </w:r>
          </w:p>
        </w:tc>
        <w:tc>
          <w:tcPr>
            <w:tcW w:type="dxa" w:w="4320"/>
          </w:tcPr>
          <w:p>
            <w:r>
              <w:t>Alternative BOM indicator fetched from MAST (with STLAL = T_STLAL or P_STLAL), used to select the correct BOM alternative for processing and creation. It is used in WHERE conditions and as a key for BOM header and item selection. Alternative BOM from MAST (E~STLAL). Selected and used in BOM explosion logic. Joined with STKO and STAS to ensure correct BOM alternative is processed. STLAL is selected as E~STLAL from MAST and F~STLAL from STKO, and is used in the join conditions. It identifies the alternative BOM and ensures the correct BOM variant is processed. Alternative BOM from MAST table, used as a selection parameter (P_STLAL, obligatory) and as a field in internal structures. It determines which BOM alternative is to be copied or processed for the selected material and plant. Alternative BOM is fetched from BOM tables to identify the specific alternative of a BOM for a material and plant. It is used in SELECT statements and WHERE conditions to filter the correct BOM alternative and is also used in the output to ensure the correct alternative is copied to the SBOM.</w:t>
            </w:r>
          </w:p>
        </w:tc>
      </w:tr>
      <w:tr>
        <w:tc>
          <w:tcPr>
            <w:tcW w:type="dxa" w:w="4320"/>
          </w:tcPr>
          <w:p>
            <w:r>
              <w:t>MATKL</w:t>
            </w:r>
          </w:p>
        </w:tc>
        <w:tc>
          <w:tcPr>
            <w:tcW w:type="dxa" w:w="4320"/>
          </w:tcPr>
          <w:p>
            <w:r>
              <w:t>Material group fetched from MARA (with MATKL in SO_MATKL), used to filter materials for BOM processing. It is also used in validation logic to ensure only relevant materials are processed. Material group from MARA (A~MATKL). Selected for each material and available for downstream business logic or reporting, but not directly filtered in this snippet. For each IT_PBOM2 item where MATNR = HEADER, MATKL is set to the value from the corresponding WA_PBOM1 (header-matching item from IT_PBOM1). This copies the material group from the BOM1 header to the BOM2 item. MATKL is selected as A~MATKL from MARA. While not directly filtered, it is included in the output and may be used for further business logic, grouping, or reporting on material groups. Fetched from MARA (A~MATKL) in the SELECT statement. This field is included in the data flow for further business processing or reporting, but is not directly used in filtering or logic in this snippet. Fetched from MARA (A~MATKL) during the SELECT. Represents the material group of the component. Included in the business data set for possible grouping, reporting, or further validation. Material group from MARA table, used for filtering materials via select-option SO_MATKL on the selection screen. It is used to restrict the set of materials considered for BOM processing to those belonging to specific material groups.</w:t>
            </w:r>
          </w:p>
        </w:tc>
      </w:tr>
      <w:tr>
        <w:tc>
          <w:tcPr>
            <w:tcW w:type="dxa" w:w="4320"/>
          </w:tcPr>
          <w:p>
            <w:r>
              <w:t>STLTY</w:t>
            </w:r>
          </w:p>
        </w:tc>
        <w:tc>
          <w:tcPr>
            <w:tcW w:type="dxa" w:w="4320"/>
          </w:tcPr>
          <w:p>
            <w:r>
              <w:t>BOM category fetched from STKO, STPO, and STAS (with STLTY = 'M'), used to filter and process only material BOMs. It is a key field in linking BOM header, items, and status. BOM category from STKO (F~STLTY). Used in the WHERE clause to include only BOMs of type 'M' (F~STLTY EQ 'M'). Also used in joins between STKO, STAS, and STPO to ensure correct BOM structure. STLTY is selected as F~STLTY from STKO and is filtered in the SELECT WHERE clause to only include BOM types equal to 'M'. It is also used in join conditions. This ensures that only main BOMs are processed.</w:t>
            </w:r>
          </w:p>
        </w:tc>
      </w:tr>
      <w:tr>
        <w:tc>
          <w:tcPr>
            <w:tcW w:type="dxa" w:w="4320"/>
          </w:tcPr>
          <w:p>
            <w:r>
              <w:t>STKOZ</w:t>
            </w:r>
          </w:p>
        </w:tc>
        <w:tc>
          <w:tcPr>
            <w:tcW w:type="dxa" w:w="4320"/>
          </w:tcPr>
          <w:p>
            <w:r>
              <w:t>BOM header status fetched from STKO, used to determine the status of the BOM header for further processing or validation.</w:t>
            </w:r>
          </w:p>
        </w:tc>
      </w:tr>
      <w:tr>
        <w:tc>
          <w:tcPr>
            <w:tcW w:type="dxa" w:w="4320"/>
          </w:tcPr>
          <w:p>
            <w:r>
              <w:t>LKENZ</w:t>
            </w:r>
          </w:p>
        </w:tc>
        <w:tc>
          <w:tcPr>
            <w:tcW w:type="dxa" w:w="4320"/>
          </w:tcPr>
          <w:p>
            <w:r>
              <w:t>Deletion indicator fetched from STKO, STPO, and STAS, used to filter out deleted BOM headers, items, or status records from processing. Deletion indicator from STAS (G~LKENZ). Used in the WHERE clause to exclude deleted BOM alternatives (G~LKENZ NE 'X'). LKENZ is selected as G~LKENZ from STAS and is filtered in the SELECT WHERE clause to exclude BOM alternatives marked as deleted (LKENZ NE 'X'). This ensures only active BOM alternatives are processed.</w:t>
            </w:r>
          </w:p>
        </w:tc>
      </w:tr>
      <w:tr>
        <w:tc>
          <w:tcPr>
            <w:tcW w:type="dxa" w:w="4320"/>
          </w:tcPr>
          <w:p>
            <w:r>
              <w:t>LOEKZ</w:t>
            </w:r>
          </w:p>
        </w:tc>
        <w:tc>
          <w:tcPr>
            <w:tcW w:type="dxa" w:w="4320"/>
          </w:tcPr>
          <w:p>
            <w:r>
              <w:t>Deletion flag fetched from STKO, used to exclude logically deleted BOM headers from processing. Deletion indicator from STKO (F~LOEKZ). Used in the WHERE clause to exclude deleted BOM headers (F~LOEKZ NE 'X'). LOEKZ is selected as F~LOEKZ from STKO and is filtered in the SELECT WHERE clause to exclude BOM headers marked as deleted (LOEKZ NE 'X'). This ensures only active BOMs are processed.</w:t>
            </w:r>
          </w:p>
        </w:tc>
      </w:tr>
      <w:tr>
        <w:tc>
          <w:tcPr>
            <w:tcW w:type="dxa" w:w="4320"/>
          </w:tcPr>
          <w:p>
            <w:r>
              <w:t>BMENG</w:t>
            </w:r>
          </w:p>
        </w:tc>
        <w:tc>
          <w:tcPr>
            <w:tcW w:type="dxa" w:w="4320"/>
          </w:tcPr>
          <w:p>
            <w:r>
              <w:t>Base quantity fetched from STKO, used as the denominator for component quantity calculation in BOM creation. It is also used in validation to ensure BOMs have valid base quantities. Base quantity for BOM from STKO (F~BMENG). Selected for each BOM header and available for downstream business logic or reporting, but not directly filtered in this snippet. In both IT_PBOM1 and IT_PBOM2, BMENG is set to 1 after recalculating MENGE, standardizing the base quantity for all BOM items to facilitate consistent BOM integration and calculation. BMENG is selected as F~BMENG from STKO. It represents the base quantity for the BOM header and may be used for further business logic or output. BMENG from IT_PBOM2 is used in the recalculation of MENGE for IT_PBOM1 entries, specifically in the formula: MENGE = MENGE * BMENG / MENGE (from IT_PBOM2), but only if MENGE (from IT_PBOM2) is greater than 0. Base quantity for BOM header from STKO table, included in internal structures for BOM creation logic. It is used to define the base quantity for the BOM being copied or created.</w:t>
            </w:r>
          </w:p>
        </w:tc>
      </w:tr>
      <w:tr>
        <w:tc>
          <w:tcPr>
            <w:tcW w:type="dxa" w:w="4320"/>
          </w:tcPr>
          <w:p>
            <w:r>
              <w:t>BMEIN</w:t>
            </w:r>
          </w:p>
        </w:tc>
        <w:tc>
          <w:tcPr>
            <w:tcW w:type="dxa" w:w="4320"/>
          </w:tcPr>
          <w:p>
            <w:r>
              <w:t>Base unit of measure fetched from STKO, used as the unit for BOM base quantity and for component quantity calculations. Base unit of measure for BOM from STKO (F~BMEIN). Selected for each BOM header and available for downstream business logic or reporting, but not directly filtered in this snippet. BMEIN is selected as F~BMEIN from STKO. It represents the base unit of measure for the BOM header and may be used for further business logic or output. Base unit of measure for BOM header from STKO table, included in internal structures for BOM creation logic. It is used to define the unit of measure for the BOM being copied or created.</w:t>
            </w:r>
          </w:p>
        </w:tc>
      </w:tr>
      <w:tr>
        <w:tc>
          <w:tcPr>
            <w:tcW w:type="dxa" w:w="4320"/>
          </w:tcPr>
          <w:p>
            <w:r>
              <w:t>STLKN</w:t>
            </w:r>
          </w:p>
        </w:tc>
        <w:tc>
          <w:tcPr>
            <w:tcW w:type="dxa" w:w="4320"/>
          </w:tcPr>
          <w:p>
            <w:r>
              <w:t>BOM item node number fetched from STPO and STAS, used to link BOM items to their respective status records and to structure the BOM hierarchy.</w:t>
            </w:r>
          </w:p>
        </w:tc>
      </w:tr>
      <w:tr>
        <w:tc>
          <w:tcPr>
            <w:tcW w:type="dxa" w:w="4320"/>
          </w:tcPr>
          <w:p>
            <w:r>
              <w:t>STPOZ</w:t>
            </w:r>
          </w:p>
        </w:tc>
        <w:tc>
          <w:tcPr>
            <w:tcW w:type="dxa" w:w="4320"/>
          </w:tcPr>
          <w:p>
            <w:r>
              <w:t>BOM item position fetched from STPO, used to identify the position of a component within the BOM.</w:t>
            </w:r>
          </w:p>
        </w:tc>
      </w:tr>
      <w:tr>
        <w:tc>
          <w:tcPr>
            <w:tcW w:type="dxa" w:w="4320"/>
          </w:tcPr>
          <w:p>
            <w:r>
              <w:t>MENGE</w:t>
            </w:r>
          </w:p>
        </w:tc>
        <w:tc>
          <w:tcPr>
            <w:tcW w:type="dxa" w:w="4320"/>
          </w:tcPr>
          <w:p>
            <w:r>
              <w:t>Component quantity fetched from STPO, used to determine the required quantity of each component in the BOM. It is divided by BMENG for sales BOMs (T_STLAN = '5') to calculate the per-unit component quantity. Component quantity from STPO (C~MENGE). Used in the WHERE clause to include only BOM items with non-negative quantity (C~MENGE GE 0). In IT_PBOM1, for each item, MENGE is recalculated as the original MENGE divided by BMENG, and then BMENG is set to 1. In IT_PBOM2, for each item where MATNR = HEADER, MENGE is recalculated as (original MENGE / BMENG) * WA_PBOM1-MENGE (where WA_PBOM1 is the header-matching item from IT_PBOM1), and BMENG is set to 1. This ensures all quantities are normalized to a base unit for further BOM processing. MENGE is selected as C~MENGE from STPO and is filtered in the SELECT WHERE clause to only include BOM items with a quantity greater than or equal to zero (C~MENGE GE 0). This ensures only valid BOM item quantities are processed. For each matching IT_PBOM2 entry, if WA_PBOM2-MENGE is greater than 0, the MENGE value in IT_PBOM1 is recalculated as: MENGE = MENGE * WA_PBOM2-BMENG / WA_PBOM2-MENGE. This calculation is performed after updating IDNRK, and only if the denominator is positive. Set to 1 for &lt;FS_PBOM1&gt; when a matching WA_PMARAMARC is found and the logic for IDNRK assignment is executed. This field represents the quantity in the BOM and is set as part of the integration logic. Component quantity from STPO table, included in internal structures for BOM item processing. It is used to define the quantity of each component in the BOM being copied or created.</w:t>
            </w:r>
          </w:p>
        </w:tc>
      </w:tr>
      <w:tr>
        <w:tc>
          <w:tcPr>
            <w:tcW w:type="dxa" w:w="4320"/>
          </w:tcPr>
          <w:p>
            <w:r>
              <w:t>MEINS</w:t>
            </w:r>
          </w:p>
        </w:tc>
        <w:tc>
          <w:tcPr>
            <w:tcW w:type="dxa" w:w="4320"/>
          </w:tcPr>
          <w:p>
            <w:r>
              <w:t>Component unit of measure fetched from STPO, used as the unit for component quantity in BOM creation. Component unit of measure from STPO (C~MEINS). Selected for each BOM item and available for downstream business logic or reporting, but not directly filtered in this snippet. MEINS is selected as C~MEINS from STPO. It represents the unit of measure for the BOM item and may be used for further business logic or output. Component unit of measure from STPO table, included in internal structures for BOM item processing. It is used to define the unit of measure for BOM components during BOM copy or creation.</w:t>
            </w:r>
          </w:p>
        </w:tc>
      </w:tr>
      <w:tr>
        <w:tc>
          <w:tcPr>
            <w:tcW w:type="dxa" w:w="4320"/>
          </w:tcPr>
          <w:p>
            <w:r>
              <w:t>IDNRK</w:t>
            </w:r>
          </w:p>
        </w:tc>
        <w:tc>
          <w:tcPr>
            <w:tcW w:type="dxa" w:w="4320"/>
          </w:tcPr>
          <w:p>
            <w:r>
              <w:t>Component material number fetched from STPO, used to identify the component in the BOM. It is also used in logic to filter and process specific component types (e.g., IDNRK+0(2) = 'PV', 'PW', 'PR', 'RS', 'SZ', 'CZ', etc.). Component material number from STPO (C~IDNRK). Selected for each BOM item. Used in post-processing to delete entries from IT_MARAMATNR1 if the component's material type is not 'HALB', 'FERT', or 'ZFRT'. IDNRK is used to determine the BOM item type by checking its prefix (first 2 or 3 characters). Based on the prefix, a specific POSNR (position number) is assigned to the BOM item, which is critical for BOM structure and downstream processing. IDNRK is used in the LOOP AT IT_BOM1 to filter BOM items where the first two characters are either 'SZ' or 'CZ'. It is also used in the SELECT statement's WHERE clause to match C~IDNRK = IT_BOM1-IDNRK, ensuring that only BOM components matching the current BOM item are selected. This field is critical for identifying and processing specific BOM components relevant to the business logic. In IT_PBOM1, only rows where the first two characters of IDNRK are 'CZ' or 'SZ' are processed. During processing, IDNRK is updated to the value of MATNR from a matching IT_PBOM2 entry (where MATNR+3(5), MATNR+13(2), and IDNRK match). The first two or three characters of the updated IDNRK are then used to determine the value of POSNR, mapping specific codes to position numbers (e.g., 'PZ' to '01', 'BP' to '02', etc.). Used in the LOOP AT IT_PBOM1 with substring checks: only records where IDNRK+0(2) = 'CZ' or 'SZ' are processed. In the inner logic, &lt;FS_PBOM1&gt;-IDNRK is set to WA_PMARAMARC-MATNR if certain conditions are met. Also, &lt;FS_PBOM1&gt;-IDNRK+0(2) and &lt;FS_PBOM1&gt;-IDNRK+0(3) are used in a CASE-like structure to assign &lt;FS_PBOM1&gt;-POSNR values, which affect the BOM item position. Component material number from STPO table, included in internal structures for BOM item processing. It is used to specify which material is a component in the BOM being copied or created.</w:t>
            </w:r>
          </w:p>
        </w:tc>
      </w:tr>
      <w:tr>
        <w:tc>
          <w:tcPr>
            <w:tcW w:type="dxa" w:w="4320"/>
          </w:tcPr>
          <w:p>
            <w:r>
              <w:t>POSNR</w:t>
            </w:r>
          </w:p>
        </w:tc>
        <w:tc>
          <w:tcPr>
            <w:tcW w:type="dxa" w:w="4320"/>
          </w:tcPr>
          <w:p>
            <w:r>
              <w:t>BOM item number fetched from STPO, used to identify and order components within the BOM. BOM item number from STPO (C~POSNR). Selected for each BOM item and available for downstream business logic or reporting, but not directly filtered in this snippet. POSNR is assigned based on the prefix of IDNRK. For example, if IDNRK starts with 'PZ', POSNR is set to '01'; if 'BP', then '02'; and so on for various 2- or 3-character prefixes. This mapping is used in both IT_PBOM1 and IT_PBOM2 to define the BOM item position, which is essential for BOM hierarchy and integration. POSNR is selected as C~POSNR from STPO. It represents the BOM item number and may be used for further business logic or output. POSNR in IT_PBOM1 is set based on the first two or three characters of the updated IDNRK field, mapping specific codes to position numbers (e.g., 'PZ' to '01', 'BP' to '02', 'GZ' to '03', etc.). This mapping covers a range of codes and assigns a unique position number for each recognized code. Assigned based on the value of &lt;FS_PBOM1&gt;-IDNRK+0(2) or &lt;FS_PBOM1&gt;-IDNRK+0(3) in a series of ELSEIF statements. The value determines the BOM item position number, which is critical for BOM structure and downstream processing. BOM item number from STPO table, included in internal structures for BOM item processing. It is used to identify and sequence BOM items during BOM copy or creation.</w:t>
            </w:r>
          </w:p>
        </w:tc>
      </w:tr>
      <w:tr>
        <w:tc>
          <w:tcPr>
            <w:tcW w:type="dxa" w:w="4320"/>
          </w:tcPr>
          <w:p>
            <w:r>
              <w:t>POSTP</w:t>
            </w:r>
          </w:p>
        </w:tc>
        <w:tc>
          <w:tcPr>
            <w:tcW w:type="dxa" w:w="4320"/>
          </w:tcPr>
          <w:p>
            <w:r>
              <w:t>Item category fetched from STPO, used to determine the type of BOM item (e.g., stock item, non-stock item) and to set the item category in the BOM creation structure. Item category from STPO (C~POSTP). Selected for each BOM item and available for downstream business logic or reporting, but not directly filtered in this snippet. POSTP is selected as C~POSTP from STPO. It represents the item category in the BOM and may be used for further business logic or output. Item category from STPO table, included in internal structures for BOM item processing. It is used to define the type of BOM item (e.g., stock item, non-stock item) during BOM copy or creation.</w:t>
            </w:r>
          </w:p>
        </w:tc>
      </w:tr>
      <w:tr>
        <w:tc>
          <w:tcPr>
            <w:tcW w:type="dxa" w:w="4320"/>
          </w:tcPr>
          <w:p>
            <w:r>
              <w:t>STASZ</w:t>
            </w:r>
          </w:p>
        </w:tc>
        <w:tc>
          <w:tcPr>
            <w:tcW w:type="dxa" w:w="4320"/>
          </w:tcPr>
          <w:p>
            <w:r>
              <w:t>BOM status fetched from STAS, used to determine the status of BOM items for processing and validation.</w:t>
            </w:r>
          </w:p>
        </w:tc>
      </w:tr>
      <w:tr>
        <w:tc>
          <w:tcPr>
            <w:tcW w:type="dxa" w:w="4320"/>
          </w:tcPr>
          <w:p>
            <w:r>
              <w:t>MCODE</w:t>
            </w:r>
          </w:p>
        </w:tc>
        <w:tc>
          <w:tcPr>
            <w:tcW w:type="dxa" w:w="4320"/>
          </w:tcPr>
          <w:p>
            <w:r>
              <w:t>Material code fetched from ZPP_SALES_BOM (with APPL = 'X'), used to validate if a material is eligible for sales BOM creation by matching with substrings of MATNR. Fetched from ZPP_SALES_BOM table where APPL is blank. Used to match against the first 3 or 2 characters of the selected material number (MATNR) during validation. If no matching MCODE is found for the material, the material is excluded from further processing.</w:t>
            </w:r>
          </w:p>
        </w:tc>
      </w:tr>
      <w:tr>
        <w:tc>
          <w:tcPr>
            <w:tcW w:type="dxa" w:w="4320"/>
          </w:tcPr>
          <w:p>
            <w:r>
              <w:t>LCODE</w:t>
            </w:r>
          </w:p>
        </w:tc>
        <w:tc>
          <w:tcPr>
            <w:tcW w:type="dxa" w:w="4320"/>
          </w:tcPr>
          <w:p>
            <w:r>
              <w:t>Location code fetched from ZPP_SALES_BOM (with APPL = 'X'), used in conjunction with MCODE to validate material eligibility for sales BOM creation. Fetched from ZPP_SALES_BOM table where APPL is blank. Used to match against the 15th character of the selected material number (MATNR) during validation. If no matching LCODE is found for the material, the material is excluded from further processing.</w:t>
            </w:r>
          </w:p>
        </w:tc>
      </w:tr>
      <w:tr>
        <w:tc>
          <w:tcPr>
            <w:tcW w:type="dxa" w:w="4320"/>
          </w:tcPr>
          <w:p>
            <w:r>
              <w:t>APPL</w:t>
            </w:r>
          </w:p>
        </w:tc>
        <w:tc>
          <w:tcPr>
            <w:tcW w:type="dxa" w:w="4320"/>
          </w:tcPr>
          <w:p>
            <w:r>
              <w:t>Application flag fetched from ZPP_SALES_BOM (with APPL = 'X'), used to filter only active application records for sales BOM validation. Fetched from ZPP_SALES_BOM table with the condition that APPL is blank. Only those BOM entries with an empty APPL field are considered for matching with the selected materials.</w:t>
            </w:r>
          </w:p>
        </w:tc>
      </w:tr>
      <w:tr>
        <w:tc>
          <w:tcPr>
            <w:tcW w:type="dxa" w:w="4320"/>
          </w:tcPr>
          <w:p>
            <w:r>
              <w:t>BDATU</w:t>
            </w:r>
          </w:p>
        </w:tc>
        <w:tc>
          <w:tcPr>
            <w:tcW w:type="dxa" w:w="4320"/>
          </w:tcPr>
          <w:p>
            <w:r>
              <w:t>Production version valid-from date fetched from MKAL (with BDATU GE SY-DATUM), used to ensure the production version is valid on the current date for BOM expansion.</w:t>
            </w:r>
          </w:p>
        </w:tc>
      </w:tr>
      <w:tr>
        <w:tc>
          <w:tcPr>
            <w:tcW w:type="dxa" w:w="4320"/>
          </w:tcPr>
          <w:p>
            <w:r>
              <w:t>ADATU</w:t>
            </w:r>
          </w:p>
        </w:tc>
        <w:tc>
          <w:tcPr>
            <w:tcW w:type="dxa" w:w="4320"/>
          </w:tcPr>
          <w:p>
            <w:r>
              <w:t>Production version valid-to date fetched from MKAL (with ADATU LE SY-DATUM), used to ensure the production version is valid on the current date for BOM expansion.</w:t>
            </w:r>
          </w:p>
        </w:tc>
      </w:tr>
      <w:tr>
        <w:tc>
          <w:tcPr>
            <w:tcW w:type="dxa" w:w="4320"/>
          </w:tcPr>
          <w:p>
            <w:r>
              <w:t>MSTAE</w:t>
            </w:r>
          </w:p>
        </w:tc>
        <w:tc>
          <w:tcPr>
            <w:tcW w:type="dxa" w:w="4320"/>
          </w:tcPr>
          <w:p>
            <w:r>
              <w:t>Material status from MARA (A~MSTAE). Used in the WHERE clause to exclude materials with status '03' (A~MSTAE NE '03'). Ensures only active or relevant materials are processed in BOM explosion. For each IT_PBOM2 item where MATNR = HEADER, MSTAE is set to the value from the corresponding WA_PBOM1 (header-matching item from IT_PBOM1). This copies the material status from the BOM1 header to the BOM2 item. MSTAE is selected as A~MSTAE from MARA and is filtered in the SELECT WHERE clause to exclude materials with status '03'. This ensures that only active or relevant materials are considered in the BOM explosion. Fetched from MARA (A~MSTAE) in the SELECT statement. Only records where A~MSTAE NE '03' are selected, ensuring only materials not flagged as deleted or inactive are processed. Fetched from MARA (A~MSTAE) during the SELECT. Used in the LOOP AT IT_PMARAMARC WHERE MSTAE = '03' OR MMSTA = '03' to determine if the material is blocked at the material master level. If MSTAE = '03', the component is considered blocked and triggers error logging. Material status from MARA table, included in internal structures for business logic. It is used to filter or validate materials based on their status before BOM processing.</w:t>
            </w:r>
          </w:p>
        </w:tc>
      </w:tr>
      <w:tr>
        <w:tc>
          <w:tcPr>
            <w:tcW w:type="dxa" w:w="4320"/>
          </w:tcPr>
          <w:p>
            <w:r>
              <w:t>MTART</w:t>
            </w:r>
          </w:p>
        </w:tc>
        <w:tc>
          <w:tcPr>
            <w:tcW w:type="dxa" w:w="4320"/>
          </w:tcPr>
          <w:p>
            <w:r>
              <w:t>Material type from MARA (A~MTART). Used in the WHERE clause to include only finished goods ('FERT') or semi-finished goods ('HALB') in the initial selection. Also used in post-processing to delete entries from IT_MARAMATNR1 if the material type is not 'HALB', 'FERT', or 'ZFRT'. Fetched from MARA table together with MATNR, filtered to only include records where MTART equals 'FERT' (finished goods). Ensures only finished goods materials are processed for BOM extension. For each IT_PBOM2 item where MATNR = HEADER, MTART is set to the value from the corresponding WA_PBOM1 (header-matching item from IT_PBOM1). This copies the material type from the BOM1 header to the BOM2 item. MTART is selected as A~MTART from MARA and is filtered in the SELECT WHERE clause to only include materials of type 'ZFRT'. This restricts the logic to a specific material type, likely finished goods or a custom type relevant to the business process. Fetched from MARA (A~MTART) in the SELECT statement. Only records where A~MTART = 'ZFRT' are selected, restricting processing to a specific material type relevant for the BOM integration. Fetched from MARA (A~MTART) during the SELECT. Represents the material type of the component. Although not directly used in the blocking logic, it is part of the selected business data set for potential further processing or validation. Material type from MARA table, included in internal structures for business logic. It is used to filter or validate materials based on their type before BOM processing.</w:t>
            </w:r>
          </w:p>
        </w:tc>
      </w:tr>
      <w:tr>
        <w:tc>
          <w:tcPr>
            <w:tcW w:type="dxa" w:w="4320"/>
          </w:tcPr>
          <w:p>
            <w:r>
              <w:t>LAEDA</w:t>
            </w:r>
          </w:p>
        </w:tc>
        <w:tc>
          <w:tcPr>
            <w:tcW w:type="dxa" w:w="4320"/>
          </w:tcPr>
          <w:p>
            <w:r>
              <w:t>Last change date from MARA (A~LAEDA). Selected for each material and available for downstream business logic or reporting, but not directly filtered in this snippet. For each IT_PBOM2 item where MATNR = HEADER, LAEDA is set to the value from the corresponding WA_PBOM1 (header-matching item from IT_PBOM1). This copies the last change date from the BOM1 header to the BOM2 item. LAEDA is selected as A~LAEDA from MARA. It represents the last change date of the material and may be used for audit, reporting, or further filtering in downstream logic. Fetched from MARA (A~LAEDA) in the SELECT statement. This field is included in the data flow for further business processing or reporting, but is not directly used in filtering or logic in this snippet. Fetched from MARA (A~LAEDA) during the SELECT. Indicates the last change date of the material master. Selected for business completeness and potential audit or change tracking. Last change date from MARA table, included in internal structures for business logic. It may be used to filter or validate materials based on when they were last changed.</w:t>
            </w:r>
          </w:p>
        </w:tc>
      </w:tr>
      <w:tr>
        <w:tc>
          <w:tcPr>
            <w:tcW w:type="dxa" w:w="4320"/>
          </w:tcPr>
          <w:p>
            <w:r>
              <w:t>MMSTA</w:t>
            </w:r>
          </w:p>
        </w:tc>
        <w:tc>
          <w:tcPr>
            <w:tcW w:type="dxa" w:w="4320"/>
          </w:tcPr>
          <w:p>
            <w:r>
              <w:t>Plant-specific material status from MARC (B~MMSTA). Selected for each material and available for downstream business logic or reporting, but not directly filtered in this snippet. For each IT_PBOM2 item where MATNR = HEADER, MMSTA is set to the value from the corresponding WA_PBOM1 (header-matching item from IT_PBOM1). This copies the material status at plant level from the BOM1 header to the BOM2 item. MMSTA is selected as B~MMSTA from MARC. It represents the plant-specific material status and may be used for further business logic or validation. Fetched from MARC (B~MMSTA) in the SELECT statement. Only records where B~MMSTA NE '03' are selected, filtering out materials with a specific status (likely blocked or inactive for the plant). Fetched from MARC (B~MMSTA) during the SELECT. Used in the LOOP AT IT_PMARAMARC WHERE MSTAE = '03' OR MMSTA = '03' to determine if the material is blocked at the plant level. If MMSTA = '03', the component is considered blocked and triggers error logging. MMSTA is used in a SELECT SINGLE from MARC (though not fetched directly, it is used in the WHERE clause) to ensure that only materials with MMSTA not equal to '03' are considered when searching for a plant (WERKS) with BESKZ = 'E'. This field acts as a status filter to exclude materials with a specific status from BOM extension logic. Plant-specific material status from MARC table, included in internal structures for business logic. It is used to filter or validate materials at the plant level before BOM processing.</w:t>
            </w:r>
          </w:p>
        </w:tc>
      </w:tr>
      <w:tr>
        <w:tc>
          <w:tcPr>
            <w:tcW w:type="dxa" w:w="4320"/>
          </w:tcPr>
          <w:p>
            <w:r>
              <w:t>BESKZ</w:t>
            </w:r>
          </w:p>
        </w:tc>
        <w:tc>
          <w:tcPr>
            <w:tcW w:type="dxa" w:w="4320"/>
          </w:tcPr>
          <w:p>
            <w:r>
              <w:t>Procurement type from MARC (B~BESKZ). Selected for each material and available for downstream business logic or reporting, but not directly filtered in this snippet. For each IT_PBOM2 item where MATNR = HEADER, BESKZ is set to the value from the corresponding WA_PBOM1 (header-matching item from IT_PBOM1). This copies the procurement type from the BOM1 header to the BOM2 item. BESKZ is selected as B~BESKZ from MARC. It represents the procurement type and may be used for further business logic or validation. Fetched from MARC (B~BESKZ) in the SELECT statement. This field is included in the data flow for further business processing or reporting, but is not directly used in filtering or logic in this snippet. Fetched from MARC (B~BESKZ) during the SELECT. Represents the procurement type of the component. Selected for business completeness and may affect further BOM or procurement logic. BESKZ is fetched from MARC in the FOR ALL ENTRIES SELECT into IT_MARACHK2. It is used to determine the procurement type of the material. In the loop over IT_MARACHK2, if BESKZ is not equal to 'E', the logic attempts to find a plant (WERKS) for the same MATNR where BESKZ is 'E' (external procurement) and MMSTA is not '03'. This ensures that only externally procured materials or those with a valid status are considered for BOM extension. Procurement type from MARC table, included in internal structures for business logic. It is used to filter or validate materials based on their procurement type before BOM processing.</w:t>
            </w:r>
          </w:p>
        </w:tc>
      </w:tr>
      <w:tr>
        <w:tc>
          <w:tcPr>
            <w:tcW w:type="dxa" w:w="4320"/>
          </w:tcPr>
          <w:p>
            <w:r>
              <w:t>SOBSL</w:t>
            </w:r>
          </w:p>
        </w:tc>
        <w:tc>
          <w:tcPr>
            <w:tcW w:type="dxa" w:w="4320"/>
          </w:tcPr>
          <w:p>
            <w:r>
              <w:t>Special procurement type from MARC (B~SOBSL). Selected for each material and available for downstream business logic or reporting, but not directly filtered in this snippet. For each IT_PBOM2 item where MATNR = HEADER, SOBSL is set to the value from the corresponding WA_PBOM1 (header-matching item from IT_PBOM1). This copies the special procurement type from the BOM1 header to the BOM2 item. SOBSL is selected as B~SOBSL from MARC. It represents the special procurement type and may be used for further business logic or validation. Fetched from MARC (B~SOBSL) in the SELECT statement. This field is included in the data flow for further business processing or reporting, but is not directly used in filtering or logic in this snippet. Fetched from MARC (B~SOBSL) during the SELECT. Represents the special procurement type. Included in the business data set for potential use in BOM creation or validation. Special procurement type from MARC table, included in internal structures for business logic. It is used to filter or validate materials based on their special procurement type before BOM processing.</w:t>
            </w:r>
          </w:p>
        </w:tc>
      </w:tr>
      <w:tr>
        <w:tc>
          <w:tcPr>
            <w:tcW w:type="dxa" w:w="4320"/>
          </w:tcPr>
          <w:p>
            <w:r>
              <w:t>WA_BOM1-BMENG</w:t>
            </w:r>
          </w:p>
        </w:tc>
        <w:tc>
          <w:tcPr>
            <w:tcW w:type="dxa" w:w="4320"/>
          </w:tcPr>
          <w:p>
            <w:r>
              <w:t>For each BOM item in IT_BOM1, the field BMENG (Base Quantity) is assigned to TSTKO-BASE_QUAN, which is used as the base quantity for the BOM header during BOM creation.</w:t>
            </w:r>
          </w:p>
        </w:tc>
      </w:tr>
      <w:tr>
        <w:tc>
          <w:tcPr>
            <w:tcW w:type="dxa" w:w="4320"/>
          </w:tcPr>
          <w:p>
            <w:r>
              <w:t>WA_BOM1-BMEIN</w:t>
            </w:r>
          </w:p>
        </w:tc>
        <w:tc>
          <w:tcPr>
            <w:tcW w:type="dxa" w:w="4320"/>
          </w:tcPr>
          <w:p>
            <w:r>
              <w:t>For each BOM item in IT_BOM1, the field BMEIN (Base Unit of Measure) is assigned to TSTKO-BASE_UNIT, which is used as the base unit for the BOM header during BOM creation.</w:t>
            </w:r>
          </w:p>
        </w:tc>
      </w:tr>
      <w:tr>
        <w:tc>
          <w:tcPr>
            <w:tcW w:type="dxa" w:w="4320"/>
          </w:tcPr>
          <w:p>
            <w:r>
              <w:t>WA_BOM1-POSTP</w:t>
            </w:r>
          </w:p>
        </w:tc>
        <w:tc>
          <w:tcPr>
            <w:tcW w:type="dxa" w:w="4320"/>
          </w:tcPr>
          <w:p>
            <w:r>
              <w:t>For each BOM item in IT_BOM1, the field POSTP (Item Category) is assigned to TSTPO-ITEM_CATEG, which determines the item category for each BOM component in the BOM creation process.</w:t>
            </w:r>
          </w:p>
        </w:tc>
      </w:tr>
      <w:tr>
        <w:tc>
          <w:tcPr>
            <w:tcW w:type="dxa" w:w="4320"/>
          </w:tcPr>
          <w:p>
            <w:r>
              <w:t>WA_BOM1-POSNR</w:t>
            </w:r>
          </w:p>
        </w:tc>
        <w:tc>
          <w:tcPr>
            <w:tcW w:type="dxa" w:w="4320"/>
          </w:tcPr>
          <w:p>
            <w:r>
              <w:t>For each BOM item in IT_BOM1, the field POSNR (Item Number) is assigned to TSTPO-ITEM_NO, which is used as the item number for each BOM component in the BOM creation process. POSNR is also sequentially assigned in increments of 10 for each item.</w:t>
            </w:r>
          </w:p>
        </w:tc>
      </w:tr>
      <w:tr>
        <w:tc>
          <w:tcPr>
            <w:tcW w:type="dxa" w:w="4320"/>
          </w:tcPr>
          <w:p>
            <w:r>
              <w:t>WA_BOM1-IDNRK</w:t>
            </w:r>
          </w:p>
        </w:tc>
        <w:tc>
          <w:tcPr>
            <w:tcW w:type="dxa" w:w="4320"/>
          </w:tcPr>
          <w:p>
            <w:r>
              <w:t>For each BOM item in IT_BOM1, the field IDNRK (Component Material Number) is assigned to TSTPO-COMPONENT, which is used as the material number for each BOM component in the BOM creation process.</w:t>
            </w:r>
          </w:p>
        </w:tc>
      </w:tr>
      <w:tr>
        <w:tc>
          <w:tcPr>
            <w:tcW w:type="dxa" w:w="4320"/>
          </w:tcPr>
          <w:p>
            <w:r>
              <w:t>WA_BOM1-MENGE</w:t>
            </w:r>
          </w:p>
        </w:tc>
        <w:tc>
          <w:tcPr>
            <w:tcW w:type="dxa" w:w="4320"/>
          </w:tcPr>
          <w:p>
            <w:r>
              <w:t>For each BOM item in IT_BOM1, the field MENGE (Component Quantity) is assigned to TSTPO-COMP_QTY, which is used as the quantity for each BOM component in the BOM creation process.</w:t>
            </w:r>
          </w:p>
        </w:tc>
      </w:tr>
      <w:tr>
        <w:tc>
          <w:tcPr>
            <w:tcW w:type="dxa" w:w="4320"/>
          </w:tcPr>
          <w:p>
            <w:r>
              <w:t>WA_BOM1-MEINS</w:t>
            </w:r>
          </w:p>
        </w:tc>
        <w:tc>
          <w:tcPr>
            <w:tcW w:type="dxa" w:w="4320"/>
          </w:tcPr>
          <w:p>
            <w:r>
              <w:t>For each BOM item in IT_BOM1, the field MEINS (Component Unit of Measure) is assigned to TSTPO-COMP_UNIT, which is used as the unit of measure for each BOM component in the BOM creation process.</w:t>
            </w:r>
          </w:p>
        </w:tc>
      </w:tr>
      <w:tr>
        <w:tc>
          <w:tcPr>
            <w:tcW w:type="dxa" w:w="4320"/>
          </w:tcPr>
          <w:p>
            <w:r>
              <w:t>TSTPO-COMPONENT</w:t>
            </w:r>
          </w:p>
        </w:tc>
        <w:tc>
          <w:tcPr>
            <w:tcW w:type="dxa" w:w="4320"/>
          </w:tcPr>
          <w:p>
            <w:r>
              <w:t>Used in the FOR ALL ENTRIES SELECT from MARA as the value for MATNR, fetching material master data for all BOM components being processed. Also used in deletion logic to remove components from IT_TSTPO based on MARA validation.</w:t>
            </w:r>
          </w:p>
        </w:tc>
      </w:tr>
      <w:tr>
        <w:tc>
          <w:tcPr>
            <w:tcW w:type="dxa" w:w="4320"/>
          </w:tcPr>
          <w:p>
            <w:r>
              <w:t>MARA-MATNR</w:t>
            </w:r>
          </w:p>
        </w:tc>
        <w:tc>
          <w:tcPr>
            <w:tcW w:type="dxa" w:w="4320"/>
          </w:tcPr>
          <w:p>
            <w:r>
              <w:t>Selected from MARA for all entries in IT_TSTPO where MATNR = TSTPO-COMPONENT. Used to validate and filter BOM components: components with MSTAE = '03' (deletion flag) or with MTART not in ('HALB', 'FERT', 'ZFRT') are removed from IT_TSTPO, ensuring only valid materials are included in the BOM.</w:t>
            </w:r>
          </w:p>
        </w:tc>
      </w:tr>
      <w:tr>
        <w:tc>
          <w:tcPr>
            <w:tcW w:type="dxa" w:w="4320"/>
          </w:tcPr>
          <w:p>
            <w:r>
              <w:t>MARA-MSTAE</w:t>
            </w:r>
          </w:p>
        </w:tc>
        <w:tc>
          <w:tcPr>
            <w:tcW w:type="dxa" w:w="4320"/>
          </w:tcPr>
          <w:p>
            <w:r>
              <w:t>After selecting from MARA, components with MSTAE = '03' (material deletion flag) are identified and corresponding entries are deleted from IT_TSTPO, ensuring deleted materials are not included in the BOM.</w:t>
            </w:r>
          </w:p>
        </w:tc>
      </w:tr>
      <w:tr>
        <w:tc>
          <w:tcPr>
            <w:tcW w:type="dxa" w:w="4320"/>
          </w:tcPr>
          <w:p>
            <w:r>
              <w:t>MARA-MTART</w:t>
            </w:r>
          </w:p>
        </w:tc>
        <w:tc>
          <w:tcPr>
            <w:tcW w:type="dxa" w:w="4320"/>
          </w:tcPr>
          <w:p>
            <w:r>
              <w:t>After selecting from MARA, components with MTART not equal to 'HALB', 'FERT', or 'ZFRT' are identified and corresponding entries are deleted from IT_TSTPO, ensuring only materials of type semi-finished, finished, or ZFRT are included in the BOM.</w:t>
            </w:r>
          </w:p>
        </w:tc>
      </w:tr>
      <w:tr>
        <w:tc>
          <w:tcPr>
            <w:tcW w:type="dxa" w:w="4320"/>
          </w:tcPr>
          <w:p>
            <w:r>
              <w:t>WA_MARAT-MATNR</w:t>
            </w:r>
          </w:p>
        </w:tc>
        <w:tc>
          <w:tcPr>
            <w:tcW w:type="dxa" w:w="4320"/>
          </w:tcPr>
          <w:p>
            <w:r>
              <w:t>Used as the MATERIAL parameter in the CSAP_MAT_BOM_CREATE function module, representing the material number for which the sales BOM is being created.</w:t>
            </w:r>
          </w:p>
        </w:tc>
      </w:tr>
      <w:tr>
        <w:tc>
          <w:tcPr>
            <w:tcW w:type="dxa" w:w="4320"/>
          </w:tcPr>
          <w:p>
            <w:r>
              <w:t>P_WERKS</w:t>
            </w:r>
          </w:p>
        </w:tc>
        <w:tc>
          <w:tcPr>
            <w:tcW w:type="dxa" w:w="4320"/>
          </w:tcPr>
          <w:p>
            <w:r>
              <w:t>Used as the PLANT parameter in the CSAP_MAT_BOM_CREATE function module, representing the plant for which the sales BOM is being created.</w:t>
            </w:r>
          </w:p>
        </w:tc>
      </w:tr>
      <w:tr>
        <w:tc>
          <w:tcPr>
            <w:tcW w:type="dxa" w:w="4320"/>
          </w:tcPr>
          <w:p>
            <w:r>
              <w:t>TYPE</w:t>
            </w:r>
          </w:p>
        </w:tc>
        <w:tc>
          <w:tcPr>
            <w:tcW w:type="dxa" w:w="4320"/>
          </w:tcPr>
          <w:p>
            <w:r>
              <w:t>Represents the selection type for the ALV output. It is included as a column in the ALV field catalog to indicate the type of selection made for each row in the output. The value is set in the field catalog for display purposes.</w:t>
            </w:r>
          </w:p>
        </w:tc>
      </w:tr>
      <w:tr>
        <w:tc>
          <w:tcPr>
            <w:tcW w:type="dxa" w:w="4320"/>
          </w:tcPr>
          <w:p>
            <w:r>
              <w:t>TWERKS</w:t>
            </w:r>
          </w:p>
        </w:tc>
        <w:tc>
          <w:tcPr>
            <w:tcW w:type="dxa" w:w="4320"/>
          </w:tcPr>
          <w:p>
            <w:r>
              <w:t>Represents the target plant to which the BOM is being copied. It is included as a column in the ALV field catalog to display the target plant code for each entry. This field is used to identify the destination of the BOM data. Target plant from MARC table, used as a parameter (T_WERKS) and as a field in internal structures. It specifies the destination plant for the BOM copy operation, affecting where the new BOM will be created.</w:t>
            </w:r>
          </w:p>
        </w:tc>
      </w:tr>
      <w:tr>
        <w:tc>
          <w:tcPr>
            <w:tcW w:type="dxa" w:w="4320"/>
          </w:tcPr>
          <w:p>
            <w:r>
              <w:t>SSTLAN</w:t>
            </w:r>
          </w:p>
        </w:tc>
        <w:tc>
          <w:tcPr>
            <w:tcW w:type="dxa" w:w="4320"/>
          </w:tcPr>
          <w:p>
            <w:r>
              <w:t>Represents the source BOM usage. It is included as a column in the ALV field catalog to display the BOM usage type from the source. This field is used to specify which BOM usage is being copied from.</w:t>
            </w:r>
          </w:p>
        </w:tc>
      </w:tr>
      <w:tr>
        <w:tc>
          <w:tcPr>
            <w:tcW w:type="dxa" w:w="4320"/>
          </w:tcPr>
          <w:p>
            <w:r>
              <w:t>TSTLAN</w:t>
            </w:r>
          </w:p>
        </w:tc>
        <w:tc>
          <w:tcPr>
            <w:tcW w:type="dxa" w:w="4320"/>
          </w:tcPr>
          <w:p>
            <w:r>
              <w:t>Represents the target BOM usage. It is included as a column in the ALV field catalog to display the BOM usage type for the target. This field is used to specify which BOM usage is being copied to. Target BOM usage from MAST table, used as a parameter (T_STLAN) and as a field in internal structures. It specifies the BOM usage type for the target BOM in the copy process.</w:t>
            </w:r>
          </w:p>
        </w:tc>
      </w:tr>
      <w:tr>
        <w:tc>
          <w:tcPr>
            <w:tcW w:type="dxa" w:w="4320"/>
          </w:tcPr>
          <w:p>
            <w:r>
              <w:t>ERROR</w:t>
            </w:r>
          </w:p>
        </w:tc>
        <w:tc>
          <w:tcPr>
            <w:tcW w:type="dxa" w:w="4320"/>
          </w:tcPr>
          <w:p>
            <w:r>
              <w:t>Represents the log or error message for each entry in the ALV output. It is included as a column in the ALV field catalog to display any errors or logs related to the BOM copy process for each row.</w:t>
            </w:r>
          </w:p>
        </w:tc>
      </w:tr>
      <w:tr>
        <w:tc>
          <w:tcPr>
            <w:tcW w:type="dxa" w:w="4320"/>
          </w:tcPr>
          <w:p>
            <w:r>
              <w:t>IT_LOG</w:t>
            </w:r>
          </w:p>
        </w:tc>
        <w:tc>
          <w:tcPr>
            <w:tcW w:type="dxa" w:w="4320"/>
          </w:tcPr>
          <w:p>
            <w:r>
              <w:t>IT_LOG is the internal table containing the final business data to be displayed in the ALV grid. It is passed as the output table (T_OUTTAB) to the function module 'REUSE_ALV_GRID_DISPLAY'. The contents of IT_LOG represent the processed log or result set of the PBOM to SBOM copy operation, and only records in IT_LOG are shown to the user in the ALV output. The structure and population of IT_LOG are determined by earlier business logic in the program, and it is the main business output of this display routine.</w:t>
            </w:r>
          </w:p>
        </w:tc>
      </w:tr>
      <w:tr>
        <w:tc>
          <w:tcPr>
            <w:tcW w:type="dxa" w:w="4320"/>
          </w:tcPr>
          <w:p>
            <w:r>
              <w:t>TSTLAL</w:t>
            </w:r>
          </w:p>
        </w:tc>
        <w:tc>
          <w:tcPr>
            <w:tcW w:type="dxa" w:w="4320"/>
          </w:tcPr>
          <w:p>
            <w:r>
              <w:t>Target alternative BOM from MAST table, used as a parameter (T_STLAL) and as a field in internal structures. It determines the alternative BOM number for the target BOM in the copy process.</w:t>
            </w:r>
          </w:p>
        </w:tc>
      </w:tr>
    </w:tbl>
    <w:p>
      <w:bookmarkStart w:id="9" w:name="sec_9"/>
      <w:pPr>
        <w:pStyle w:val="Heading1"/>
      </w:pPr>
      <w:r>
        <w:t>9. Interfaces &amp; Integration</w:t>
      </w:r>
      <w:bookmarkEnd w:id="9"/>
    </w:p>
    <w:tbl>
      <w:tblPr>
        <w:tblStyle w:val="LightList"/>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t>Interface ID</w:t>
            </w:r>
          </w:p>
        </w:tc>
        <w:tc>
          <w:tcPr>
            <w:tcW w:type="dxa" w:w="1080"/>
          </w:tcPr>
          <w:p>
            <w:r>
              <w:t>Source System</w:t>
            </w:r>
          </w:p>
        </w:tc>
        <w:tc>
          <w:tcPr>
            <w:tcW w:type="dxa" w:w="1080"/>
          </w:tcPr>
          <w:p>
            <w:r>
              <w:t>Target System</w:t>
            </w:r>
          </w:p>
        </w:tc>
        <w:tc>
          <w:tcPr>
            <w:tcW w:type="dxa" w:w="1080"/>
          </w:tcPr>
          <w:p>
            <w:r>
              <w:t>Data/Message Type</w:t>
            </w:r>
          </w:p>
        </w:tc>
        <w:tc>
          <w:tcPr>
            <w:tcW w:type="dxa" w:w="1080"/>
          </w:tcPr>
          <w:p>
            <w:r>
              <w:t>Frequency/Mode</w:t>
            </w:r>
          </w:p>
        </w:tc>
        <w:tc>
          <w:tcPr>
            <w:tcW w:type="dxa" w:w="1080"/>
          </w:tcPr>
          <w:p>
            <w:r>
              <w:t>Description</w:t>
            </w:r>
          </w:p>
        </w:tc>
        <w:tc>
          <w:tcPr>
            <w:tcW w:type="dxa" w:w="1080"/>
          </w:tcPr>
          <w:p>
            <w:r/>
          </w:p>
        </w:tc>
      </w:tr>
      <w:tr>
        <w:tc>
          <w:tcPr>
            <w:tcW w:type="dxa" w:w="1080"/>
          </w:tcPr>
          <w:p>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p>
        </w:tc>
      </w:tr>
    </w:tbl>
    <w:p>
      <w:bookmarkStart w:id="10" w:name="sec_10"/>
      <w:pPr>
        <w:pStyle w:val="Heading1"/>
      </w:pPr>
      <w:r>
        <w:t>10. Output</w:t>
      </w:r>
      <w:bookmarkEnd w:id="10"/>
    </w:p>
    <w:p>
      <w:r>
        <w:t>No reports, extracts, or outputs are specified in the provided payload.</w:t>
      </w:r>
    </w:p>
    <w:p>
      <w:bookmarkStart w:id="11" w:name="sec_11"/>
      <w:pPr>
        <w:pStyle w:val="Heading1"/>
      </w:pPr>
      <w:r>
        <w:t>11. UI Requirement</w:t>
      </w:r>
      <w:bookmarkEnd w:id="11"/>
    </w:p>
    <w:p>
      <w:r>
        <w:t>No UI elements, selection screen parameters, or screen fields are defined in the provided payload.</w:t>
      </w:r>
    </w:p>
    <w:p>
      <w:bookmarkStart w:id="12" w:name="sec_12"/>
      <w:pPr>
        <w:pStyle w:val="Heading1"/>
      </w:pPr>
      <w:r>
        <w:t>12. Authorization &amp; Security</w:t>
      </w:r>
      <w:bookmarkEnd w:id="12"/>
    </w:p>
    <w:tbl>
      <w:tblPr>
        <w:tblStyle w:val="LightList"/>
        <w:tblW w:type="auto" w:w="0"/>
        <w:tblLook w:firstColumn="1" w:firstRow="1" w:lastColumn="0" w:lastRow="0" w:noHBand="0" w:noVBand="1" w:val="04A0"/>
      </w:tblPr>
      <w:tblGrid>
        <w:gridCol w:w="2160"/>
        <w:gridCol w:w="2160"/>
        <w:gridCol w:w="2160"/>
        <w:gridCol w:w="2160"/>
      </w:tblGrid>
      <w:tr>
        <w:tc>
          <w:tcPr>
            <w:tcW w:type="dxa" w:w="2160"/>
          </w:tcPr>
          <w:p>
            <w:r>
              <w:t>Role/Profile</w:t>
            </w:r>
          </w:p>
        </w:tc>
        <w:tc>
          <w:tcPr>
            <w:tcW w:type="dxa" w:w="2160"/>
          </w:tcPr>
          <w:p>
            <w:r>
              <w:t>Authorization Object</w:t>
            </w:r>
          </w:p>
        </w:tc>
        <w:tc>
          <w:tcPr>
            <w:tcW w:type="dxa" w:w="2160"/>
          </w:tcPr>
          <w:p>
            <w:r>
              <w:t>Access Level</w:t>
            </w:r>
          </w:p>
        </w:tc>
        <w:tc>
          <w:tcPr>
            <w:tcW w:type="dxa" w:w="2160"/>
          </w:tcPr>
          <w:p>
            <w:r>
              <w:t>Description</w:t>
            </w:r>
          </w:p>
        </w:tc>
      </w:tr>
      <w:tr>
        <w:tc>
          <w:tcPr>
            <w:tcW w:type="dxa" w:w="2160"/>
          </w:tcPr>
          <w:p>
            <w:r>
              <w:t>[To Be Filled]</w:t>
            </w:r>
          </w:p>
        </w:tc>
        <w:tc>
          <w:tcPr>
            <w:tcW w:type="dxa" w:w="2160"/>
          </w:tcPr>
          <w:p>
            <w:r>
              <w:t>[To Be Filled]</w:t>
            </w:r>
          </w:p>
        </w:tc>
        <w:tc>
          <w:tcPr>
            <w:tcW w:type="dxa" w:w="2160"/>
          </w:tcPr>
          <w:p>
            <w:r>
              <w:t>[To Be Filled]</w:t>
            </w:r>
          </w:p>
        </w:tc>
        <w:tc>
          <w:tcPr>
            <w:tcW w:type="dxa" w:w="2160"/>
          </w:tcPr>
          <w:p>
            <w:r>
              <w:t>[To Be Filled]</w:t>
            </w:r>
          </w:p>
        </w:tc>
      </w:tr>
    </w:tbl>
    <w:p>
      <w:bookmarkStart w:id="13" w:name="sec_13"/>
      <w:pPr>
        <w:pStyle w:val="Heading1"/>
      </w:pPr>
      <w:r>
        <w:t>13. Error Handling &amp; Notifications</w:t>
      </w:r>
      <w:bookmarkEnd w:id="13"/>
    </w:p>
    <w:p>
      <w:r>
        <w:t>No error handling or notification requirements are specified in the payload.</w:t>
      </w:r>
    </w:p>
    <w:p>
      <w:bookmarkStart w:id="14" w:name="sec_14"/>
      <w:pPr>
        <w:pStyle w:val="Heading1"/>
      </w:pPr>
      <w:r>
        <w:t>14. Assumptions &amp; Dependencies</w:t>
      </w:r>
      <w:bookmarkEnd w:id="14"/>
    </w:p>
    <w:p>
      <w:r>
        <w:t>No assumptions or dependencies are specified in the payload.</w:t>
      </w:r>
    </w:p>
    <w:p>
      <w:bookmarkStart w:id="15" w:name="sec_15"/>
      <w:pPr>
        <w:pStyle w:val="Heading1"/>
      </w:pPr>
      <w:r>
        <w:t>15. Test Scenario</w:t>
      </w:r>
      <w:bookmarkEnd w:id="15"/>
    </w:p>
    <w:tbl>
      <w:tblPr>
        <w:tblStyle w:val="LightList"/>
        <w:tblW w:type="auto" w:w="0"/>
        <w:tblLook w:firstColumn="1" w:firstRow="1" w:lastColumn="0" w:lastRow="0" w:noHBand="0" w:noVBand="1" w:val="04A0"/>
      </w:tblPr>
      <w:tblGrid>
        <w:gridCol w:w="1440"/>
        <w:gridCol w:w="1440"/>
        <w:gridCol w:w="1440"/>
        <w:gridCol w:w="1440"/>
        <w:gridCol w:w="1440"/>
        <w:gridCol w:w="1440"/>
      </w:tblGrid>
      <w:tr>
        <w:tc>
          <w:tcPr>
            <w:tcW w:type="dxa" w:w="1440"/>
          </w:tcPr>
          <w:p>
            <w:r>
              <w:t>Test Case ID</w:t>
            </w:r>
          </w:p>
        </w:tc>
        <w:tc>
          <w:tcPr>
            <w:tcW w:type="dxa" w:w="1440"/>
          </w:tcPr>
          <w:p>
            <w:r>
              <w:t>Objective</w:t>
            </w:r>
          </w:p>
        </w:tc>
        <w:tc>
          <w:tcPr>
            <w:tcW w:type="dxa" w:w="1440"/>
          </w:tcPr>
          <w:p>
            <w:r>
              <w:t>Input Data</w:t>
            </w:r>
          </w:p>
        </w:tc>
        <w:tc>
          <w:tcPr>
            <w:tcW w:type="dxa" w:w="1440"/>
          </w:tcPr>
          <w:p>
            <w:r>
              <w:t>Expected Output</w:t>
            </w:r>
          </w:p>
        </w:tc>
        <w:tc>
          <w:tcPr>
            <w:tcW w:type="dxa" w:w="1440"/>
          </w:tcPr>
          <w:p>
            <w:r>
              <w:t>Actual Result/Status</w:t>
            </w:r>
          </w:p>
        </w:tc>
        <w:tc>
          <w:tcPr>
            <w:tcW w:type="dxa" w:w="1440"/>
          </w:tcPr>
          <w:p>
            <w:r>
              <w:t>Sign-off/Comments</w:t>
            </w:r>
          </w:p>
        </w:tc>
      </w:tr>
      <w:tr>
        <w:tc>
          <w:tcPr>
            <w:tcW w:type="dxa" w:w="1440"/>
          </w:tcPr>
          <w:p>
            <w:r>
              <w:t>TC_001</w:t>
            </w:r>
          </w:p>
        </w:tc>
        <w:tc>
          <w:tcPr>
            <w:tcW w:type="dxa" w:w="1440"/>
          </w:tcPr>
          <w:p>
            <w:r>
              <w:t>Validate system behavior with empty payload</w:t>
            </w:r>
          </w:p>
        </w:tc>
        <w:tc>
          <w:tcPr>
            <w:tcW w:type="dxa" w:w="1440"/>
          </w:tcPr>
          <w:p>
            <w:r>
              <w:t>{}</w:t>
            </w:r>
          </w:p>
        </w:tc>
        <w:tc>
          <w:tcPr>
            <w:tcW w:type="dxa" w:w="1440"/>
          </w:tcPr>
          <w:p>
            <w:r>
              <w:t>System should handle empty input gracefully, possibly returning an error or default response</w:t>
            </w:r>
          </w:p>
        </w:tc>
        <w:tc>
          <w:tcPr>
            <w:tcW w:type="dxa" w:w="1440"/>
          </w:tcPr>
          <w:p>
            <w:r>
              <w:t>Pending</w:t>
            </w:r>
          </w:p>
        </w:tc>
        <w:tc>
          <w:tcPr>
            <w:tcW w:type="dxa" w:w="1440"/>
          </w:tcPr>
          <w:p>
            <w:r/>
          </w:p>
        </w:tc>
      </w:tr>
    </w:tbl>
    <w:p>
      <w:bookmarkStart w:id="16" w:name="sec_16"/>
      <w:pPr>
        <w:pStyle w:val="Heading1"/>
      </w:pPr>
      <w:r>
        <w:t>16. Sign-Off</w:t>
      </w:r>
      <w:bookmarkEnd w:id="16"/>
    </w:p>
    <w:tbl>
      <w:tblPr>
        <w:tblStyle w:val="LightList"/>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Signature</w:t>
            </w:r>
          </w:p>
        </w:tc>
        <w:tc>
          <w:tcPr>
            <w:tcW w:type="dxa" w:w="2160"/>
          </w:tcPr>
          <w:p>
            <w:r>
              <w:t>Date</w:t>
            </w:r>
          </w:p>
        </w:tc>
      </w:tr>
      <w:tr>
        <w:tc>
          <w:tcPr>
            <w:tcW w:type="dxa" w:w="2160"/>
          </w:tcPr>
          <w:p>
            <w:r>
              <w:t>Prepared By</w:t>
            </w:r>
          </w:p>
        </w:tc>
        <w:tc>
          <w:tcPr>
            <w:tcW w:type="dxa" w:w="2160"/>
          </w:tcPr>
          <w:p>
            <w:r/>
          </w:p>
        </w:tc>
        <w:tc>
          <w:tcPr>
            <w:tcW w:type="dxa" w:w="2160"/>
          </w:tcPr>
          <w:p>
            <w:r/>
          </w:p>
        </w:tc>
        <w:tc>
          <w:tcPr>
            <w:tcW w:type="dxa" w:w="2160"/>
          </w:tcPr>
          <w:p>
            <w:r/>
          </w:p>
        </w:tc>
      </w:tr>
      <w:tr>
        <w:tc>
          <w:tcPr>
            <w:tcW w:type="dxa" w:w="2160"/>
          </w:tcPr>
          <w:p>
            <w:r>
              <w:t>Approved By</w:t>
            </w:r>
          </w:p>
        </w:tc>
        <w:tc>
          <w:tcPr>
            <w:tcW w:type="dxa" w:w="2160"/>
          </w:tcPr>
          <w:p>
            <w:r/>
          </w:p>
        </w:tc>
        <w:tc>
          <w:tcPr>
            <w:tcW w:type="dxa" w:w="2160"/>
          </w:tcPr>
          <w:p>
            <w:r/>
          </w:p>
        </w:tc>
        <w:tc>
          <w:tcPr>
            <w:tcW w:type="dxa" w:w="2160"/>
          </w:tcPr>
          <w:p>
            <w:r/>
          </w:p>
        </w:tc>
      </w:tr>
      <w:tr>
        <w:tc>
          <w:tcPr>
            <w:tcW w:type="dxa" w:w="2160"/>
          </w:tcPr>
          <w:p>
            <w:r>
              <w:t>Client Sign-Off</w:t>
            </w:r>
          </w:p>
        </w:tc>
        <w:tc>
          <w:tcPr>
            <w:tcW w:type="dxa" w:w="2160"/>
          </w:tcPr>
          <w:p>
            <w:r/>
          </w:p>
        </w:tc>
        <w:tc>
          <w:tcPr>
            <w:tcW w:type="dxa" w:w="2160"/>
          </w:tcPr>
          <w:p>
            <w:r/>
          </w:p>
        </w:tc>
        <w:tc>
          <w:tcPr>
            <w:tcW w:type="dxa" w:w="2160"/>
          </w:tcPr>
          <w:p>
            <w:r/>
          </w:p>
        </w:tc>
      </w:tr>
    </w:tbl>
    <w:p>
      <w:r>
        <w:br/>
        <w:t>Document generated by PWC AI-powered ABAP Tech Spec Assistant.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