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Uniform Design Document</w:t>
      </w:r>
    </w:p>
    <w:p>
      <w:pPr>
        <w:pStyle w:val="Heading1"/>
      </w:pPr>
      <w:r>
        <w:t>Index</w:t>
      </w:r>
    </w:p>
    <w:p>
      <w:r>
        <w:fldChar w:fldCharType="begin"/>
        <w:instrText>TOC \o "1" \h \z \u</w:instrText>
        <w:fldChar w:fldCharType="separate"/>
        <w:fldChar w:fldCharType="end"/>
      </w:r>
    </w:p>
    <w:p>
      <w:pPr>
        <w:tabs>
          <w:tab w:pos="8640" w:val="right" w:leader="dot"/>
        </w:tabs>
      </w:pPr>
      <w:r>
        <w:t>1. SECTION: 1. Purpose</w:t>
        <w:tab/>
      </w:r>
      <w:r>
        <w:fldChar w:fldCharType="begin"/>
        <w:instrText xml:space="preserve">PAGEREF sec_1 \h</w:instrText>
        <w:fldChar w:fldCharType="separate"/>
        <w:t>1</w:t>
        <w:fldChar w:fldCharType="end"/>
      </w:r>
    </w:p>
    <w:p>
      <w:pPr>
        <w:tabs>
          <w:tab w:pos="8640" w:val="right" w:leader="dot"/>
        </w:tabs>
      </w:pPr>
      <w:r>
        <w:t>2. SECTION: 2. Scope</w:t>
        <w:tab/>
      </w:r>
      <w:r>
        <w:fldChar w:fldCharType="begin"/>
        <w:instrText xml:space="preserve">PAGEREF sec_2 \h</w:instrText>
        <w:fldChar w:fldCharType="separate"/>
        <w:t>1</w:t>
        <w:fldChar w:fldCharType="end"/>
      </w:r>
    </w:p>
    <w:p>
      <w:pPr>
        <w:tabs>
          <w:tab w:pos="8640" w:val="right" w:leader="dot"/>
        </w:tabs>
      </w:pPr>
      <w:r>
        <w:t>3. SECTION: 3. Structure</w:t>
        <w:tab/>
      </w:r>
      <w:r>
        <w:fldChar w:fldCharType="begin"/>
        <w:instrText xml:space="preserve">PAGEREF sec_3 \h</w:instrText>
        <w:fldChar w:fldCharType="separate"/>
        <w:t>1</w:t>
        <w:fldChar w:fldCharType="end"/>
      </w:r>
    </w:p>
    <w:p>
      <w:pPr>
        <w:tabs>
          <w:tab w:pos="8640" w:val="right" w:leader="dot"/>
        </w:tabs>
      </w:pPr>
      <w:r>
        <w:t>4. SECTION: 4. Table</w:t>
        <w:tab/>
      </w:r>
      <w:r>
        <w:fldChar w:fldCharType="begin"/>
        <w:instrText xml:space="preserve">PAGEREF sec_4 \h</w:instrText>
        <w:fldChar w:fldCharType="separate"/>
        <w:t>1</w:t>
        <w:fldChar w:fldCharType="end"/>
      </w:r>
    </w:p>
    <w:p>
      <w:pPr>
        <w:tabs>
          <w:tab w:pos="8640" w:val="right" w:leader="dot"/>
        </w:tabs>
      </w:pPr>
      <w:r>
        <w:t>5. SECTION: 5. Value Help</w:t>
        <w:tab/>
      </w:r>
      <w:r>
        <w:fldChar w:fldCharType="begin"/>
        <w:instrText xml:space="preserve">PAGEREF sec_5 \h</w:instrText>
        <w:fldChar w:fldCharType="separate"/>
        <w:t>1</w:t>
        <w:fldChar w:fldCharType="end"/>
      </w:r>
    </w:p>
    <w:p>
      <w:pPr>
        <w:tabs>
          <w:tab w:pos="8640" w:val="right" w:leader="dot"/>
        </w:tabs>
      </w:pPr>
      <w:r>
        <w:t>6. SECTION: 6. CDS</w:t>
        <w:tab/>
      </w:r>
      <w:r>
        <w:fldChar w:fldCharType="begin"/>
        <w:instrText xml:space="preserve">PAGEREF sec_6 \h</w:instrText>
        <w:fldChar w:fldCharType="separate"/>
        <w:t>1</w:t>
        <w:fldChar w:fldCharType="end"/>
      </w:r>
    </w:p>
    <w:p>
      <w:pPr>
        <w:tabs>
          <w:tab w:pos="8640" w:val="right" w:leader="dot"/>
        </w:tabs>
      </w:pPr>
      <w:r>
        <w:t>7. SECTION: 7. Function Module</w:t>
        <w:tab/>
      </w:r>
      <w:r>
        <w:fldChar w:fldCharType="begin"/>
        <w:instrText xml:space="preserve">PAGEREF sec_7 \h</w:instrText>
        <w:fldChar w:fldCharType="separate"/>
        <w:t>1</w:t>
        <w:fldChar w:fldCharType="end"/>
      </w:r>
    </w:p>
    <w:p>
      <w:pPr>
        <w:tabs>
          <w:tab w:pos="8640" w:val="right" w:leader="dot"/>
        </w:tabs>
      </w:pPr>
      <w:r>
        <w:t>8. SECTION: 8. Global Class</w:t>
        <w:tab/>
      </w:r>
      <w:r>
        <w:fldChar w:fldCharType="begin"/>
        <w:instrText xml:space="preserve">PAGEREF sec_8 \h</w:instrText>
        <w:fldChar w:fldCharType="separate"/>
        <w:t>1</w:t>
        <w:fldChar w:fldCharType="end"/>
      </w:r>
    </w:p>
    <w:p>
      <w:pPr>
        <w:tabs>
          <w:tab w:pos="8640" w:val="right" w:leader="dot"/>
        </w:tabs>
      </w:pPr>
      <w:r>
        <w:t>9. SECTION: 9. Report Program</w:t>
        <w:tab/>
      </w:r>
      <w:r>
        <w:fldChar w:fldCharType="begin"/>
        <w:instrText xml:space="preserve">PAGEREF sec_9 \h</w:instrText>
        <w:fldChar w:fldCharType="separate"/>
        <w:t>1</w:t>
        <w:fldChar w:fldCharType="end"/>
      </w:r>
    </w:p>
    <w:p>
      <w:bookmarkStart w:id="1" w:name="sec_1"/>
      <w:pPr>
        <w:pStyle w:val="Heading1"/>
      </w:pPr>
      <w:r>
        <w:t>1. SECTION: 1. Purpose</w:t>
      </w:r>
      <w:bookmarkEnd w:id="1"/>
    </w:p>
    <w:p>
      <w:pPr/>
      <w:r>
        <w:rPr>
          <w:b w:val="0"/>
        </w:rPr>
        <w:t>The purpose of this Unified Design Document is to define the design approach and solution details for implementing automated purchase order (PO) creation via file-based upload and SAP ALV processing. This document serves to align stakeholders on the functional and technical design, outlining how the solution will enable high-volume, accurate, and auditable PO creation while minimizing manual input and streamlining processing efficiency. The expected outcome is a robust, easily auditable process with improved accuracy, faster PO cycles, and comprehensive centralized logging.</w:t>
      </w:r>
    </w:p>
    <w:p>
      <w:bookmarkStart w:id="2" w:name="sec_2"/>
      <w:pPr>
        <w:pStyle w:val="Heading1"/>
      </w:pPr>
      <w:r>
        <w:t>2. SECTION: 2. Scope</w:t>
      </w:r>
      <w:bookmarkEnd w:id="2"/>
    </w:p>
    <w:p>
      <w:pPr/>
      <w:r>
        <w:rPr>
          <w:b w:val="0"/>
        </w:rPr>
        <w:t>The solution includes as in-scope the functionality for uploading POs via an Excel interface, incorporating validation checks for vendor, material, and plant master data. It also provides a simulation mode for pre-validation, followed by automated PO creation using the BAPI_PO_CREATE1 function. Impacted processes include PO data import, validation, and document creation; primary users are purchasing personnel and master data administrators. Out of scope are the creation of purchase requisitions (PRs), goods receipt (GR) and invoice receipt (IR) postings, as well as invoice processing. The solution relies on existing master data and appropriate user authorizations in SAP, and integrates with MM master data as well as FI vendor block functionality.</w:t>
      </w:r>
    </w:p>
    <w:p>
      <w:bookmarkStart w:id="3" w:name="sec_3"/>
      <w:pPr>
        <w:pStyle w:val="Heading1"/>
      </w:pPr>
      <w:r>
        <w:t>3. SECTION: 3. Structure</w:t>
      </w:r>
      <w:bookmarkEnd w:id="3"/>
    </w:p>
    <w:p>
      <w:pPr/>
      <w:r>
        <w:rPr>
          <w:b w:val="0"/>
        </w:rPr>
        <w:t>The solution employs a custom ABAP structure, ZSTR_MM_PO_UPLOAD, as the central in-memory data model for automated purchase order creation based on uploaded Excel files. This structure is designed to accommodate both PO header and item-level details, reflecting the requirements for high-throughput batch processing, granular validation, and auditable tracking of each upload transaction.</w:t>
      </w:r>
    </w:p>
    <w:p>
      <w:pPr/>
      <w:r>
        <w:rPr>
          <w:b w:val="0"/>
        </w:rPr>
        <w:t>Functionally, ZSTR_MM_PO_UPLOAD is necessary to capture and persistently process each row of the uploaded file, mapping Excel columns to relevant data elements such as vendor number, material number, quantity, and unit of measure. The structure includes fields for vendor (LIFNR), material (MATNR), quantity (MENGE), and unit of measure (MEINS), aligning with master data validation requirements. To fully support business requirements, the structure incorporates processing status indicators (such as simulation or posting flags), error messages for feedback on failed validations or postings, and audit fields to track the responsible user and time of operation.</w:t>
      </w:r>
    </w:p>
    <w:p>
      <w:pPr/>
      <w:r>
        <w:rPr>
          <w:b w:val="0"/>
        </w:rPr>
        <w:t>Technically, ZSTR_MM_PO_UPLOAD acts as a composite structure supporting both header-level (e.g., document type, vendor, company code) and item-level (e.g., material, plant, quantity, unit of measure) data. Key processing fields include flags for simulation versus actual posting mode and detailed validation status per row. Internal table constructs based on ZSTR_MM_PO_UPLOAD are used at runtime to hold all upload records, enabling sequential validation, error logging, and consolidated posting of purchase orders.</w:t>
      </w:r>
    </w:p>
    <w:p>
      <w:pPr/>
      <w:r>
        <w:rPr>
          <w:b w:val="0"/>
        </w:rPr>
        <w:t>The structure is pivotal for ensuring data integrity, enabling efficient batch validation, and supporting end-to-end traceability of upload and PO creation results.</w:t>
      </w:r>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Data Element</w:t>
            </w:r>
          </w:p>
        </w:tc>
        <w:tc>
          <w:tcPr>
            <w:tcW w:type="dxa" w:w="2160"/>
          </w:tcPr>
          <w:p>
            <w:r>
              <w:t>Primary Key</w:t>
            </w:r>
          </w:p>
        </w:tc>
        <w:tc>
          <w:tcPr>
            <w:tcW w:type="dxa" w:w="2160"/>
          </w:tcPr>
          <w:p>
            <w:r>
              <w:t>Description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LIFNR</w:t>
            </w:r>
          </w:p>
        </w:tc>
        <w:tc>
          <w:tcPr>
            <w:tcW w:type="dxa" w:w="2160"/>
          </w:tcPr>
          <w:p>
            <w:r>
              <w:t>LIFNR</w:t>
            </w:r>
          </w:p>
        </w:tc>
        <w:tc>
          <w:tcPr>
            <w:tcW w:type="dxa" w:w="2160"/>
          </w:tcPr>
          <w:p>
            <w:r>
              <w:t>Yes (Header)</w:t>
            </w:r>
          </w:p>
        </w:tc>
        <w:tc>
          <w:tcPr>
            <w:tcW w:type="dxa" w:w="2160"/>
          </w:tcPr>
          <w:p>
            <w:r>
              <w:t>Vendor Number</w:t>
            </w:r>
          </w:p>
        </w:tc>
      </w:tr>
      <w:tr>
        <w:tc>
          <w:tcPr>
            <w:tcW w:type="dxa" w:w="2160"/>
          </w:tcPr>
          <w:p>
            <w:r>
              <w:t>EBELN</w:t>
            </w:r>
          </w:p>
        </w:tc>
        <w:tc>
          <w:tcPr>
            <w:tcW w:type="dxa" w:w="2160"/>
          </w:tcPr>
          <w:p>
            <w:r>
              <w:t>EBELN</w:t>
            </w:r>
          </w:p>
        </w:tc>
        <w:tc>
          <w:tcPr>
            <w:tcW w:type="dxa" w:w="2160"/>
          </w:tcPr>
          <w:p>
            <w:r>
              <w:t>No</w:t>
            </w:r>
          </w:p>
        </w:tc>
        <w:tc>
          <w:tcPr>
            <w:tcW w:type="dxa" w:w="2160"/>
          </w:tcPr>
          <w:p>
            <w:r>
              <w:t>Purchase Order Number (output after creation)</w:t>
            </w:r>
          </w:p>
        </w:tc>
      </w:tr>
      <w:tr>
        <w:tc>
          <w:tcPr>
            <w:tcW w:type="dxa" w:w="2160"/>
          </w:tcPr>
          <w:p>
            <w:r>
              <w:t>MATNR</w:t>
            </w:r>
          </w:p>
        </w:tc>
        <w:tc>
          <w:tcPr>
            <w:tcW w:type="dxa" w:w="2160"/>
          </w:tcPr>
          <w:p>
            <w:r>
              <w:t>MATNR</w:t>
            </w:r>
          </w:p>
        </w:tc>
        <w:tc>
          <w:tcPr>
            <w:tcW w:type="dxa" w:w="2160"/>
          </w:tcPr>
          <w:p>
            <w:r>
              <w:t>Yes (Item)</w:t>
            </w:r>
          </w:p>
        </w:tc>
        <w:tc>
          <w:tcPr>
            <w:tcW w:type="dxa" w:w="2160"/>
          </w:tcPr>
          <w:p>
            <w:r>
              <w:t>Material Number</w:t>
            </w:r>
          </w:p>
        </w:tc>
      </w:tr>
      <w:tr>
        <w:tc>
          <w:tcPr>
            <w:tcW w:type="dxa" w:w="2160"/>
          </w:tcPr>
          <w:p>
            <w:r>
              <w:t>MENGE</w:t>
            </w:r>
          </w:p>
        </w:tc>
        <w:tc>
          <w:tcPr>
            <w:tcW w:type="dxa" w:w="2160"/>
          </w:tcPr>
          <w:p>
            <w:r>
              <w:t>MENGE</w:t>
            </w:r>
          </w:p>
        </w:tc>
        <w:tc>
          <w:tcPr>
            <w:tcW w:type="dxa" w:w="2160"/>
          </w:tcPr>
          <w:p>
            <w:r>
              <w:t>No</w:t>
            </w:r>
          </w:p>
        </w:tc>
        <w:tc>
          <w:tcPr>
            <w:tcW w:type="dxa" w:w="2160"/>
          </w:tcPr>
          <w:p>
            <w:r>
              <w:t>Quantity</w:t>
            </w:r>
          </w:p>
        </w:tc>
      </w:tr>
      <w:tr>
        <w:tc>
          <w:tcPr>
            <w:tcW w:type="dxa" w:w="2160"/>
          </w:tcPr>
          <w:p>
            <w:r>
              <w:t>MEINS</w:t>
            </w:r>
          </w:p>
        </w:tc>
        <w:tc>
          <w:tcPr>
            <w:tcW w:type="dxa" w:w="2160"/>
          </w:tcPr>
          <w:p>
            <w:r>
              <w:t>MEINS</w:t>
            </w:r>
          </w:p>
        </w:tc>
        <w:tc>
          <w:tcPr>
            <w:tcW w:type="dxa" w:w="2160"/>
          </w:tcPr>
          <w:p>
            <w:r>
              <w:t>No</w:t>
            </w:r>
          </w:p>
        </w:tc>
        <w:tc>
          <w:tcPr>
            <w:tcW w:type="dxa" w:w="2160"/>
          </w:tcPr>
          <w:p>
            <w:r>
              <w:t>Base Unit of Measure</w:t>
            </w:r>
          </w:p>
        </w:tc>
      </w:tr>
      <w:tr>
        <w:tc>
          <w:tcPr>
            <w:tcW w:type="dxa" w:w="2160"/>
          </w:tcPr>
          <w:p>
            <w:r>
              <w:t>WERKS</w:t>
            </w:r>
          </w:p>
        </w:tc>
        <w:tc>
          <w:tcPr>
            <w:tcW w:type="dxa" w:w="2160"/>
          </w:tcPr>
          <w:p>
            <w:r>
              <w:t>WERKS_D</w:t>
            </w:r>
          </w:p>
        </w:tc>
        <w:tc>
          <w:tcPr>
            <w:tcW w:type="dxa" w:w="2160"/>
          </w:tcPr>
          <w:p>
            <w:r>
              <w:t>Yes (Item)</w:t>
            </w:r>
          </w:p>
        </w:tc>
        <w:tc>
          <w:tcPr>
            <w:tcW w:type="dxa" w:w="2160"/>
          </w:tcPr>
          <w:p>
            <w:r>
              <w:t>Plant</w:t>
            </w:r>
          </w:p>
        </w:tc>
      </w:tr>
      <w:tr>
        <w:tc>
          <w:tcPr>
            <w:tcW w:type="dxa" w:w="2160"/>
          </w:tcPr>
          <w:p>
            <w:r>
              <w:t>BSTYP</w:t>
            </w:r>
          </w:p>
        </w:tc>
        <w:tc>
          <w:tcPr>
            <w:tcW w:type="dxa" w:w="2160"/>
          </w:tcPr>
          <w:p>
            <w:r>
              <w:t>BSTYP</w:t>
            </w:r>
          </w:p>
        </w:tc>
        <w:tc>
          <w:tcPr>
            <w:tcW w:type="dxa" w:w="2160"/>
          </w:tcPr>
          <w:p>
            <w:r>
              <w:t>No</w:t>
            </w:r>
          </w:p>
        </w:tc>
        <w:tc>
          <w:tcPr>
            <w:tcW w:type="dxa" w:w="2160"/>
          </w:tcPr>
          <w:p>
            <w:r>
              <w:t>Document Type</w:t>
            </w:r>
          </w:p>
        </w:tc>
      </w:tr>
      <w:tr>
        <w:tc>
          <w:tcPr>
            <w:tcW w:type="dxa" w:w="2160"/>
          </w:tcPr>
          <w:p>
            <w:r>
              <w:t>BUKRS</w:t>
            </w:r>
          </w:p>
        </w:tc>
        <w:tc>
          <w:tcPr>
            <w:tcW w:type="dxa" w:w="2160"/>
          </w:tcPr>
          <w:p>
            <w:r>
              <w:t>BUKRS</w:t>
            </w:r>
          </w:p>
        </w:tc>
        <w:tc>
          <w:tcPr>
            <w:tcW w:type="dxa" w:w="2160"/>
          </w:tcPr>
          <w:p>
            <w:r>
              <w:t>No</w:t>
            </w:r>
          </w:p>
        </w:tc>
        <w:tc>
          <w:tcPr>
            <w:tcW w:type="dxa" w:w="2160"/>
          </w:tcPr>
          <w:p>
            <w:r>
              <w:t>Company Code</w:t>
            </w:r>
          </w:p>
        </w:tc>
      </w:tr>
      <w:tr>
        <w:tc>
          <w:tcPr>
            <w:tcW w:type="dxa" w:w="2160"/>
          </w:tcPr>
          <w:p>
            <w:r>
              <w:t>STATUS_FLAG</w:t>
            </w:r>
          </w:p>
        </w:tc>
        <w:tc>
          <w:tcPr>
            <w:tcW w:type="dxa" w:w="2160"/>
          </w:tcPr>
          <w:p>
            <w:r>
              <w:t>CHAR1</w:t>
            </w:r>
          </w:p>
        </w:tc>
        <w:tc>
          <w:tcPr>
            <w:tcW w:type="dxa" w:w="2160"/>
          </w:tcPr>
          <w:p>
            <w:r>
              <w:t>No</w:t>
            </w:r>
          </w:p>
        </w:tc>
        <w:tc>
          <w:tcPr>
            <w:tcW w:type="dxa" w:w="2160"/>
          </w:tcPr>
          <w:p>
            <w:r>
              <w:t>Processing Status (e.g., S=Simulate, P=Posted)</w:t>
            </w:r>
          </w:p>
        </w:tc>
      </w:tr>
      <w:tr>
        <w:tc>
          <w:tcPr>
            <w:tcW w:type="dxa" w:w="2160"/>
          </w:tcPr>
          <w:p>
            <w:r>
              <w:t>ERROR_MSG</w:t>
            </w:r>
          </w:p>
        </w:tc>
        <w:tc>
          <w:tcPr>
            <w:tcW w:type="dxa" w:w="2160"/>
          </w:tcPr>
          <w:p>
            <w:r>
              <w:t>CHAR255</w:t>
            </w:r>
          </w:p>
        </w:tc>
        <w:tc>
          <w:tcPr>
            <w:tcW w:type="dxa" w:w="2160"/>
          </w:tcPr>
          <w:p>
            <w:r>
              <w:t>No</w:t>
            </w:r>
          </w:p>
        </w:tc>
        <w:tc>
          <w:tcPr>
            <w:tcW w:type="dxa" w:w="2160"/>
          </w:tcPr>
          <w:p>
            <w:r>
              <w:t>Error Message / Validation Feedback</w:t>
            </w:r>
          </w:p>
        </w:tc>
      </w:tr>
      <w:tr>
        <w:tc>
          <w:tcPr>
            <w:tcW w:type="dxa" w:w="2160"/>
          </w:tcPr>
          <w:p>
            <w:r>
              <w:t>USERNAME</w:t>
            </w:r>
          </w:p>
        </w:tc>
        <w:tc>
          <w:tcPr>
            <w:tcW w:type="dxa" w:w="2160"/>
          </w:tcPr>
          <w:p>
            <w:r>
              <w:t>SYUNAME</w:t>
            </w:r>
          </w:p>
        </w:tc>
        <w:tc>
          <w:tcPr>
            <w:tcW w:type="dxa" w:w="2160"/>
          </w:tcPr>
          <w:p>
            <w:r>
              <w:t>No</w:t>
            </w:r>
          </w:p>
        </w:tc>
        <w:tc>
          <w:tcPr>
            <w:tcW w:type="dxa" w:w="2160"/>
          </w:tcPr>
          <w:p>
            <w:r>
              <w:t>User Who Uploaded/Processed</w:t>
            </w:r>
          </w:p>
        </w:tc>
      </w:tr>
      <w:tr>
        <w:tc>
          <w:tcPr>
            <w:tcW w:type="dxa" w:w="2160"/>
          </w:tcPr>
          <w:p>
            <w:r>
              <w:t>TIMESTAMP</w:t>
            </w:r>
          </w:p>
        </w:tc>
        <w:tc>
          <w:tcPr>
            <w:tcW w:type="dxa" w:w="2160"/>
          </w:tcPr>
          <w:p>
            <w:r>
              <w:t>TIMESTAMP</w:t>
            </w:r>
          </w:p>
        </w:tc>
        <w:tc>
          <w:tcPr>
            <w:tcW w:type="dxa" w:w="2160"/>
          </w:tcPr>
          <w:p>
            <w:r>
              <w:t>No</w:t>
            </w:r>
          </w:p>
        </w:tc>
        <w:tc>
          <w:tcPr>
            <w:tcW w:type="dxa" w:w="2160"/>
          </w:tcPr>
          <w:p>
            <w:r>
              <w:t>Date and Time of Processing</w:t>
            </w:r>
          </w:p>
        </w:tc>
      </w:tr>
      <w:tr>
        <w:tc>
          <w:tcPr>
            <w:tcW w:type="dxa" w:w="2160"/>
          </w:tcPr>
          <w:p>
            <w:r>
              <w:t>IS_SIMULATION</w:t>
            </w:r>
          </w:p>
        </w:tc>
        <w:tc>
          <w:tcPr>
            <w:tcW w:type="dxa" w:w="2160"/>
          </w:tcPr>
          <w:p>
            <w:r>
              <w:t>CHAR1</w:t>
            </w:r>
          </w:p>
        </w:tc>
        <w:tc>
          <w:tcPr>
            <w:tcW w:type="dxa" w:w="2160"/>
          </w:tcPr>
          <w:p>
            <w:r>
              <w:t>No</w:t>
            </w:r>
          </w:p>
        </w:tc>
        <w:tc>
          <w:tcPr>
            <w:tcW w:type="dxa" w:w="2160"/>
          </w:tcPr>
          <w:p>
            <w:r>
              <w:t>Simulation Mode Indicator (X/blank)</w:t>
            </w:r>
          </w:p>
        </w:tc>
      </w:tr>
      <w:tr>
        <w:tc>
          <w:tcPr>
            <w:tcW w:type="dxa" w:w="2160"/>
          </w:tcPr>
          <w:p>
            <w:r>
              <w:t>LOG_ID</w:t>
            </w:r>
          </w:p>
        </w:tc>
        <w:tc>
          <w:tcPr>
            <w:tcW w:type="dxa" w:w="2160"/>
          </w:tcPr>
          <w:p>
            <w:r>
              <w:t>NUMC10</w:t>
            </w:r>
          </w:p>
        </w:tc>
        <w:tc>
          <w:tcPr>
            <w:tcW w:type="dxa" w:w="2160"/>
          </w:tcPr>
          <w:p>
            <w:r>
              <w:t>No</w:t>
            </w:r>
          </w:p>
        </w:tc>
        <w:tc>
          <w:tcPr>
            <w:tcW w:type="dxa" w:w="2160"/>
          </w:tcPr>
          <w:p>
            <w:r>
              <w:t>Reference to Audit/Log Record</w:t>
            </w:r>
          </w:p>
        </w:tc>
      </w:tr>
    </w:tbl>
    <w:p>
      <w:bookmarkStart w:id="4" w:name="sec_4"/>
      <w:pPr>
        <w:pStyle w:val="Heading1"/>
      </w:pPr>
      <w:r>
        <w:t>4. SECTION: 4. Table</w:t>
      </w:r>
      <w:bookmarkEnd w:id="4"/>
    </w:p>
    <w:p>
      <w:pPr/>
      <w:r>
        <w:rPr>
          <w:b w:val="0"/>
        </w:rPr>
        <w:t>The custom table ZMM_PO_UPLOAD_LOG is designed to serve as an audit and logging repository for all purchase order upload activities performed through the automated Excel-based interface. Its primary purpose is to ensure end-to-end traceability of each upload request, encompassing both successful and failed attempts, thereby supporting compliance, process transparency, and efficient troubleshooting.</w:t>
      </w:r>
    </w:p>
    <w:p>
      <w:pPr/>
      <w:r>
        <w:rPr>
          <w:b w:val="0"/>
        </w:rPr>
        <w:t>From a functional standpoint, this table is required to track details of every PO upload operation, including the initiating user, timestamps, input data snapshot (request), resultant system actions or messages (response), and critical master data references such as vendor (LIFNR) and material (MATNR). Capturing these details allows for comprehensive post-hoc analysis, auditing, and reporting of upload transactions. It also facilitates error tracking and enables process owners to reconcile system entries with source inputs.</w:t>
      </w:r>
    </w:p>
    <w:p>
      <w:pPr/>
      <w:r>
        <w:rPr>
          <w:b w:val="0"/>
        </w:rPr>
        <w:t>ZMM_PO_UPLOAD_LOG receives its data directly from the custom ABAP logic executing PO uploads. Key fields include a unique log entry identifier (LOG_ID), user ID, execution timestamp, vendor number (LIFNR), material number (MATNR), quantity (MENGE), unit of measure (MEINS), and textual snapshots of both the upload request and system response. LOG_ID serves as the primary key, ensuring unambiguous identification of each transaction log.</w:t>
      </w:r>
    </w:p>
    <w:p>
      <w:pPr/>
      <w:r>
        <w:rPr>
          <w:b w:val="0"/>
        </w:rPr>
        <w:t>Technically, the table employs LOG_ID as a non-business, technical primary key (likely of type NUMC or GUID). No foreign keys have been defined, as this table is purposed for standalone logging rather than transactional linkage; however, LIFNR and MATNR fields can be cross-referenced to LFA1 and MARA for business reporting. The table is configured as a transparent table with client field (MANDT), optimized for high-volume append operations, and standard maintenance settings are restricted to programmatic access only.</w:t>
      </w:r>
    </w:p>
    <w:p>
      <w:pPr/>
      <w:r>
        <w:rPr>
          <w:b w:val="0"/>
        </w:rPr>
        <w:t>The table contains the following fields: LOG_ID (unique identifier), MANDT (client), USERID (uploading SAP user), TIMESTAMP (operation datetime), LIFNR (vendor), MATNR (material), MENGE (quantity), MEINS (unit), REQUEST (request content), RESPONSE (system response).</w:t>
      </w:r>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Field Name</w:t>
            </w:r>
          </w:p>
        </w:tc>
        <w:tc>
          <w:tcPr>
            <w:tcW w:type="dxa" w:w="2160"/>
          </w:tcPr>
          <w:p>
            <w:r>
              <w:t>Data Element</w:t>
            </w:r>
          </w:p>
        </w:tc>
        <w:tc>
          <w:tcPr>
            <w:tcW w:type="dxa" w:w="2160"/>
          </w:tcPr>
          <w:p>
            <w:r>
              <w:t>Primary Key</w:t>
            </w:r>
          </w:p>
        </w:tc>
        <w:tc>
          <w:tcPr>
            <w:tcW w:type="dxa" w:w="2160"/>
          </w:tcPr>
          <w:p>
            <w:r>
              <w:t>Description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LOG_ID</w:t>
            </w:r>
          </w:p>
        </w:tc>
        <w:tc>
          <w:tcPr>
            <w:tcW w:type="dxa" w:w="2160"/>
          </w:tcPr>
          <w:p>
            <w:r>
              <w:t>[To Be Filled]</w:t>
            </w:r>
          </w:p>
        </w:tc>
        <w:tc>
          <w:tcPr>
            <w:tcW w:type="dxa" w:w="2160"/>
          </w:tcPr>
          <w:p>
            <w:r>
              <w:t>Yes</w:t>
            </w:r>
          </w:p>
        </w:tc>
        <w:tc>
          <w:tcPr>
            <w:tcW w:type="dxa" w:w="2160"/>
          </w:tcPr>
          <w:p>
            <w:r>
              <w:t>Unique identifier for each upload log entry</w:t>
            </w:r>
          </w:p>
        </w:tc>
      </w:tr>
      <w:tr>
        <w:tc>
          <w:tcPr>
            <w:tcW w:type="dxa" w:w="2160"/>
          </w:tcPr>
          <w:p>
            <w:r>
              <w:t>MANDT</w:t>
            </w:r>
          </w:p>
        </w:tc>
        <w:tc>
          <w:tcPr>
            <w:tcW w:type="dxa" w:w="2160"/>
          </w:tcPr>
          <w:p>
            <w:r>
              <w:t>MANDT</w:t>
            </w:r>
          </w:p>
        </w:tc>
        <w:tc>
          <w:tcPr>
            <w:tcW w:type="dxa" w:w="2160"/>
          </w:tcPr>
          <w:p>
            <w:r>
              <w:t>No</w:t>
            </w:r>
          </w:p>
        </w:tc>
        <w:tc>
          <w:tcPr>
            <w:tcW w:type="dxa" w:w="2160"/>
          </w:tcPr>
          <w:p>
            <w:r>
              <w:t>Client</w:t>
            </w:r>
          </w:p>
        </w:tc>
      </w:tr>
      <w:tr>
        <w:tc>
          <w:tcPr>
            <w:tcW w:type="dxa" w:w="2160"/>
          </w:tcPr>
          <w:p>
            <w:r>
              <w:t>USERID</w:t>
            </w:r>
          </w:p>
        </w:tc>
        <w:tc>
          <w:tcPr>
            <w:tcW w:type="dxa" w:w="2160"/>
          </w:tcPr>
          <w:p>
            <w:r>
              <w:t>SY-UNAME</w:t>
            </w:r>
          </w:p>
        </w:tc>
        <w:tc>
          <w:tcPr>
            <w:tcW w:type="dxa" w:w="2160"/>
          </w:tcPr>
          <w:p>
            <w:r>
              <w:t>No</w:t>
            </w:r>
          </w:p>
        </w:tc>
        <w:tc>
          <w:tcPr>
            <w:tcW w:type="dxa" w:w="2160"/>
          </w:tcPr>
          <w:p>
            <w:r>
              <w:t>User ID who performed the upload</w:t>
            </w:r>
          </w:p>
        </w:tc>
      </w:tr>
      <w:tr>
        <w:tc>
          <w:tcPr>
            <w:tcW w:type="dxa" w:w="2160"/>
          </w:tcPr>
          <w:p>
            <w:r>
              <w:t>TIMESTAMP</w:t>
            </w:r>
          </w:p>
        </w:tc>
        <w:tc>
          <w:tcPr>
            <w:tcW w:type="dxa" w:w="2160"/>
          </w:tcPr>
          <w:p>
            <w:r>
              <w:t>TIMESTAMP</w:t>
            </w:r>
          </w:p>
        </w:tc>
        <w:tc>
          <w:tcPr>
            <w:tcW w:type="dxa" w:w="2160"/>
          </w:tcPr>
          <w:p>
            <w:r>
              <w:t>No</w:t>
            </w:r>
          </w:p>
        </w:tc>
        <w:tc>
          <w:tcPr>
            <w:tcW w:type="dxa" w:w="2160"/>
          </w:tcPr>
          <w:p>
            <w:r>
              <w:t>Date and time of the upload event</w:t>
            </w:r>
          </w:p>
        </w:tc>
      </w:tr>
      <w:tr>
        <w:tc>
          <w:tcPr>
            <w:tcW w:type="dxa" w:w="2160"/>
          </w:tcPr>
          <w:p>
            <w:r>
              <w:t>LIFNR</w:t>
            </w:r>
          </w:p>
        </w:tc>
        <w:tc>
          <w:tcPr>
            <w:tcW w:type="dxa" w:w="2160"/>
          </w:tcPr>
          <w:p>
            <w:r>
              <w:t>LIFNR</w:t>
            </w:r>
          </w:p>
        </w:tc>
        <w:tc>
          <w:tcPr>
            <w:tcW w:type="dxa" w:w="2160"/>
          </w:tcPr>
          <w:p>
            <w:r>
              <w:t>No</w:t>
            </w:r>
          </w:p>
        </w:tc>
        <w:tc>
          <w:tcPr>
            <w:tcW w:type="dxa" w:w="2160"/>
          </w:tcPr>
          <w:p>
            <w:r>
              <w:t>Vendor number associated with the PO upload</w:t>
            </w:r>
          </w:p>
        </w:tc>
      </w:tr>
      <w:tr>
        <w:tc>
          <w:tcPr>
            <w:tcW w:type="dxa" w:w="2160"/>
          </w:tcPr>
          <w:p>
            <w:r>
              <w:t>MATNR</w:t>
            </w:r>
          </w:p>
        </w:tc>
        <w:tc>
          <w:tcPr>
            <w:tcW w:type="dxa" w:w="2160"/>
          </w:tcPr>
          <w:p>
            <w:r>
              <w:t>MATNR</w:t>
            </w:r>
          </w:p>
        </w:tc>
        <w:tc>
          <w:tcPr>
            <w:tcW w:type="dxa" w:w="2160"/>
          </w:tcPr>
          <w:p>
            <w:r>
              <w:t>No</w:t>
            </w:r>
          </w:p>
        </w:tc>
        <w:tc>
          <w:tcPr>
            <w:tcW w:type="dxa" w:w="2160"/>
          </w:tcPr>
          <w:p>
            <w:r>
              <w:t>Material number related to the PO line item</w:t>
            </w:r>
          </w:p>
        </w:tc>
      </w:tr>
      <w:tr>
        <w:tc>
          <w:tcPr>
            <w:tcW w:type="dxa" w:w="2160"/>
          </w:tcPr>
          <w:p>
            <w:r>
              <w:t>MENGE</w:t>
            </w:r>
          </w:p>
        </w:tc>
        <w:tc>
          <w:tcPr>
            <w:tcW w:type="dxa" w:w="2160"/>
          </w:tcPr>
          <w:p>
            <w:r>
              <w:t>MENGE</w:t>
            </w:r>
          </w:p>
        </w:tc>
        <w:tc>
          <w:tcPr>
            <w:tcW w:type="dxa" w:w="2160"/>
          </w:tcPr>
          <w:p>
            <w:r>
              <w:t>No</w:t>
            </w:r>
          </w:p>
        </w:tc>
        <w:tc>
          <w:tcPr>
            <w:tcW w:type="dxa" w:w="2160"/>
          </w:tcPr>
          <w:p>
            <w:r>
              <w:t>Purchase order quantity</w:t>
            </w:r>
          </w:p>
        </w:tc>
      </w:tr>
      <w:tr>
        <w:tc>
          <w:tcPr>
            <w:tcW w:type="dxa" w:w="2160"/>
          </w:tcPr>
          <w:p>
            <w:r>
              <w:t>MEINS</w:t>
            </w:r>
          </w:p>
        </w:tc>
        <w:tc>
          <w:tcPr>
            <w:tcW w:type="dxa" w:w="2160"/>
          </w:tcPr>
          <w:p>
            <w:r>
              <w:t>MEINS</w:t>
            </w:r>
          </w:p>
        </w:tc>
        <w:tc>
          <w:tcPr>
            <w:tcW w:type="dxa" w:w="2160"/>
          </w:tcPr>
          <w:p>
            <w:r>
              <w:t>No</w:t>
            </w:r>
          </w:p>
        </w:tc>
        <w:tc>
          <w:tcPr>
            <w:tcW w:type="dxa" w:w="2160"/>
          </w:tcPr>
          <w:p>
            <w:r>
              <w:t>Unit of measure for the quantity</w:t>
            </w:r>
          </w:p>
        </w:tc>
      </w:tr>
      <w:tr>
        <w:tc>
          <w:tcPr>
            <w:tcW w:type="dxa" w:w="2160"/>
          </w:tcPr>
          <w:p>
            <w:r>
              <w:t>REQUEST</w:t>
            </w:r>
          </w:p>
        </w:tc>
        <w:tc>
          <w:tcPr>
            <w:tcW w:type="dxa" w:w="2160"/>
          </w:tcPr>
          <w:p>
            <w:r>
              <w:t>STRING</w:t>
            </w:r>
          </w:p>
        </w:tc>
        <w:tc>
          <w:tcPr>
            <w:tcW w:type="dxa" w:w="2160"/>
          </w:tcPr>
          <w:p>
            <w:r>
              <w:t>No</w:t>
            </w:r>
          </w:p>
        </w:tc>
        <w:tc>
          <w:tcPr>
            <w:tcW w:type="dxa" w:w="2160"/>
          </w:tcPr>
          <w:p>
            <w:r>
              <w:t>Raw request data content of the upload</w:t>
            </w:r>
          </w:p>
        </w:tc>
      </w:tr>
      <w:tr>
        <w:tc>
          <w:tcPr>
            <w:tcW w:type="dxa" w:w="2160"/>
          </w:tcPr>
          <w:p>
            <w:r>
              <w:t>RESPONSE</w:t>
            </w:r>
          </w:p>
        </w:tc>
        <w:tc>
          <w:tcPr>
            <w:tcW w:type="dxa" w:w="2160"/>
          </w:tcPr>
          <w:p>
            <w:r>
              <w:t>STRING</w:t>
            </w:r>
          </w:p>
        </w:tc>
        <w:tc>
          <w:tcPr>
            <w:tcW w:type="dxa" w:w="2160"/>
          </w:tcPr>
          <w:p>
            <w:r>
              <w:t>No</w:t>
            </w:r>
          </w:p>
        </w:tc>
        <w:tc>
          <w:tcPr>
            <w:tcW w:type="dxa" w:w="2160"/>
          </w:tcPr>
          <w:p>
            <w:r>
              <w:t>Raw system response to the upload</w:t>
            </w:r>
          </w:p>
        </w:tc>
      </w:tr>
    </w:tbl>
    <w:p>
      <w:bookmarkStart w:id="5" w:name="sec_5"/>
      <w:pPr>
        <w:pStyle w:val="Heading1"/>
      </w:pPr>
      <w:r>
        <w:t>5. SECTION: 5. Value Help</w:t>
      </w:r>
      <w:bookmarkEnd w:id="5"/>
    </w:p>
    <w:p>
      <w:pPr/>
      <w:r>
        <w:rPr>
          <w:b w:val="0"/>
        </w:rPr>
        <w:t>A custom value help (search help) is required for the Material (MATNR) field in the PO upload Excel interface. This value help is triggered when the user initiates material selection, typically while mapping or entering PO item-level details in the upload screen. Users expect to efficiently search, select, and filter valid material numbers pertinent to their purchasing scenario.</w:t>
      </w:r>
    </w:p>
    <w:p>
      <w:pPr/>
      <w:r>
        <w:rPr>
          <w:b w:val="0"/>
        </w:rPr>
        <w:t>The value help must enable users to:</w:t>
      </w:r>
    </w:p>
    <w:p>
      <w:pPr/>
      <w:r>
        <w:rPr>
          <w:b w:val="0"/>
        </w:rPr>
        <w:t>- Search and select material numbers (MATNR) relevant to their purchasing organization.</w:t>
      </w:r>
    </w:p>
    <w:p>
      <w:pPr/>
      <w:r>
        <w:rPr>
          <w:b w:val="0"/>
        </w:rPr>
        <w:t>- Apply real-time filtering, such as by material description, material type, or vendor association if applicable.</w:t>
      </w:r>
    </w:p>
    <w:p>
      <w:pPr/>
      <w:r>
        <w:rPr>
          <w:b w:val="0"/>
        </w:rPr>
        <w:t>- Display key material attributes, such as material number, description, type, and relevant vendor, to aid accurate selection and validation.</w:t>
      </w:r>
    </w:p>
    <w:p>
      <w:pPr/>
      <w:r>
        <w:rPr>
          <w:b w:val="0"/>
        </w:rPr>
        <w:t>The data source for this value help is a custom CDS view that associates material master (MARA) and vendor master (LFA1) tables. Selection criteria and output fields should reflect only materials that are active and valid for PO processing. Filtering logic may further restrict entries based on user context or vendor linkage, facilitating accurate and efficient data entry.</w:t>
      </w:r>
    </w:p>
    <w:p>
      <w:pPr/>
      <w:r>
        <w:rPr>
          <w:b w:val="0"/>
        </w:rPr>
        <w:t>The value help CDS must provide the following fields:</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w:t>
            </w:r>
          </w:p>
        </w:tc>
      </w:tr>
      <w:tr>
        <w:tc>
          <w:tcPr>
            <w:tcW w:type="dxa" w:w="2880"/>
          </w:tcPr>
          <w:p>
            <w:r>
              <w:t>---------------</w:t>
            </w:r>
          </w:p>
        </w:tc>
        <w:tc>
          <w:tcPr>
            <w:tcW w:type="dxa" w:w="2880"/>
          </w:tcPr>
          <w:p>
            <w:r>
              <w:t>--------------</w:t>
            </w:r>
          </w:p>
        </w:tc>
        <w:tc>
          <w:tcPr>
            <w:tcW w:type="dxa" w:w="2880"/>
          </w:tcPr>
          <w:p>
            <w:r>
              <w:t>-------------</w:t>
            </w:r>
          </w:p>
        </w:tc>
      </w:tr>
      <w:tr>
        <w:tc>
          <w:tcPr>
            <w:tcW w:type="dxa" w:w="2880"/>
          </w:tcPr>
          <w:p>
            <w:r>
              <w:t>MATNR</w:t>
            </w:r>
          </w:p>
        </w:tc>
        <w:tc>
          <w:tcPr>
            <w:tcW w:type="dxa" w:w="2880"/>
          </w:tcPr>
          <w:p>
            <w:r>
              <w:t>MATNR</w:t>
            </w:r>
          </w:p>
        </w:tc>
        <w:tc>
          <w:tcPr>
            <w:tcW w:type="dxa" w:w="2880"/>
          </w:tcPr>
          <w:p>
            <w:r>
              <w:t>Yes</w:t>
            </w:r>
          </w:p>
        </w:tc>
      </w:tr>
      <w:tr>
        <w:tc>
          <w:tcPr>
            <w:tcW w:type="dxa" w:w="2880"/>
          </w:tcPr>
          <w:p>
            <w:r>
              <w:t>MAKTX</w:t>
            </w:r>
          </w:p>
        </w:tc>
        <w:tc>
          <w:tcPr>
            <w:tcW w:type="dxa" w:w="2880"/>
          </w:tcPr>
          <w:p>
            <w:r>
              <w:t>MAKTX</w:t>
            </w:r>
          </w:p>
        </w:tc>
        <w:tc>
          <w:tcPr>
            <w:tcW w:type="dxa" w:w="2880"/>
          </w:tcPr>
          <w:p>
            <w:r>
              <w:t>No</w:t>
            </w:r>
          </w:p>
        </w:tc>
      </w:tr>
      <w:tr>
        <w:tc>
          <w:tcPr>
            <w:tcW w:type="dxa" w:w="2880"/>
          </w:tcPr>
          <w:p>
            <w:r>
              <w:t>MTART</w:t>
            </w:r>
          </w:p>
        </w:tc>
        <w:tc>
          <w:tcPr>
            <w:tcW w:type="dxa" w:w="2880"/>
          </w:tcPr>
          <w:p>
            <w:r>
              <w:t>MTART</w:t>
            </w:r>
          </w:p>
        </w:tc>
        <w:tc>
          <w:tcPr>
            <w:tcW w:type="dxa" w:w="2880"/>
          </w:tcPr>
          <w:p>
            <w:r>
              <w:t>No</w:t>
            </w:r>
          </w:p>
        </w:tc>
      </w:tr>
      <w:tr>
        <w:tc>
          <w:tcPr>
            <w:tcW w:type="dxa" w:w="2880"/>
          </w:tcPr>
          <w:p>
            <w:r>
              <w:t>LIFNR</w:t>
            </w:r>
          </w:p>
        </w:tc>
        <w:tc>
          <w:tcPr>
            <w:tcW w:type="dxa" w:w="2880"/>
          </w:tcPr>
          <w:p>
            <w:r>
              <w:t>LIFNR</w:t>
            </w:r>
          </w:p>
        </w:tc>
        <w:tc>
          <w:tcPr>
            <w:tcW w:type="dxa" w:w="2880"/>
          </w:tcPr>
          <w:p>
            <w:r>
              <w:t>No</w:t>
            </w:r>
          </w:p>
        </w:tc>
      </w:tr>
    </w:tbl>
    <w:p>
      <w:pPr/>
      <w:r>
        <w:rPr>
          <w:b w:val="0"/>
        </w:rPr>
        <w:t>Additional business-specific fields or filtering criteria can be incorporated as required. The CDS association to MARA ensures availability of material attributes, while the optional LFA1 association allows vendor-based filtering if enabled in the interface logic.</w:t>
      </w:r>
    </w:p>
    <w:p>
      <w:bookmarkStart w:id="6" w:name="sec_6"/>
      <w:pPr>
        <w:pStyle w:val="Heading1"/>
      </w:pPr>
      <w:r>
        <w:t>6. SECTION: 6. CDS</w:t>
      </w:r>
      <w:bookmarkEnd w:id="6"/>
    </w:p>
    <w:p>
      <w:pPr/>
      <w:r>
        <w:rPr>
          <w:b w:val="0"/>
        </w:rPr>
        <w:t>A custom CDS view (ZCDS_MATNR_VALUE_HELP) is implemented to provide value help for the Material Number (MATNR) field within the PO upload Excel interface. This CDS is necessary to enable efficient, accurate material selection for end users engaged in purchasing processes. It is consumed primarily as an embedded value help in Fiori UI and may also serve as a reusable lookup source in ALV reporting contexts or similar SAP UI scenarios.</w:t>
      </w:r>
    </w:p>
    <w:p>
      <w:pPr/>
      <w:r>
        <w:rPr>
          <w:b w:val="0"/>
        </w:rPr>
        <w:t>Functionally, the CDS view consolidates and exposes only those materials that are active and valid for procurement, leveraging associations with both the material master (MARA) and vendor master (LFA1) tables. This allows users to filter materials by description, type, or vendor, thus supporting context-sensitive search and reducing data entry errors. The view is designed to display essential material attributes—including material number, description, type, and linked vendor—for user-friendly selection and validation during upload.</w:t>
      </w:r>
    </w:p>
    <w:p>
      <w:pPr/>
      <w:r>
        <w:rPr>
          <w:b w:val="0"/>
        </w:rPr>
        <w:t>The technical design utilizes MARA as the base table, with associations to LFA1 for vendor information. Filters enforce that only active, relevant materials are shown, potentially restricting results based on user or vendor context. Primary keys and critical data elements are surfaced to support performant lookups and downstream referencing.</w:t>
      </w:r>
    </w:p>
    <w:p>
      <w:pPr/>
      <w:r>
        <w:rPr>
          <w:b w:val="0"/>
        </w:rPr>
        <w:t>The CDS exposes the following fields:</w:t>
      </w:r>
    </w:p>
    <w:tbl>
      <w:tblPr>
        <w:tblStyle w:val="LightList"/>
        <w:tblW w:type="auto" w:w="0"/>
        <w:tblLook w:firstColumn="1" w:firstRow="1" w:lastColumn="0" w:lastRow="0" w:noHBand="0" w:noVBand="1" w:val="04A0"/>
      </w:tblPr>
      <w:tblGrid>
        <w:gridCol w:w="2880"/>
        <w:gridCol w:w="2880"/>
        <w:gridCol w:w="2880"/>
      </w:tblGrid>
      <w:tr>
        <w:tc>
          <w:tcPr>
            <w:tcW w:type="dxa" w:w="2880"/>
          </w:tcPr>
          <w:p>
            <w:r>
              <w:t>Field Name</w:t>
            </w:r>
          </w:p>
        </w:tc>
        <w:tc>
          <w:tcPr>
            <w:tcW w:type="dxa" w:w="2880"/>
          </w:tcPr>
          <w:p>
            <w:r>
              <w:t>Data Element</w:t>
            </w:r>
          </w:p>
        </w:tc>
        <w:tc>
          <w:tcPr>
            <w:tcW w:type="dxa" w:w="2880"/>
          </w:tcPr>
          <w:p>
            <w:r>
              <w:t>Primary Key</w:t>
            </w:r>
          </w:p>
        </w:tc>
      </w:tr>
      <w:tr>
        <w:tc>
          <w:tcPr>
            <w:tcW w:type="dxa" w:w="2880"/>
          </w:tcPr>
          <w:p>
            <w:r>
              <w:t>-----------------------</w:t>
            </w:r>
          </w:p>
        </w:tc>
        <w:tc>
          <w:tcPr>
            <w:tcW w:type="dxa" w:w="2880"/>
          </w:tcPr>
          <w:p>
            <w:r>
              <w:t>--------------</w:t>
            </w:r>
          </w:p>
        </w:tc>
        <w:tc>
          <w:tcPr>
            <w:tcW w:type="dxa" w:w="2880"/>
          </w:tcPr>
          <w:p>
            <w:r>
              <w:t>-------------</w:t>
            </w:r>
          </w:p>
        </w:tc>
      </w:tr>
      <w:tr>
        <w:tc>
          <w:tcPr>
            <w:tcW w:type="dxa" w:w="2880"/>
          </w:tcPr>
          <w:p>
            <w:r>
              <w:t>MATNR (Material No.)</w:t>
            </w:r>
          </w:p>
        </w:tc>
        <w:tc>
          <w:tcPr>
            <w:tcW w:type="dxa" w:w="2880"/>
          </w:tcPr>
          <w:p>
            <w:r>
              <w:t>MATNR</w:t>
            </w:r>
          </w:p>
        </w:tc>
        <w:tc>
          <w:tcPr>
            <w:tcW w:type="dxa" w:w="2880"/>
          </w:tcPr>
          <w:p>
            <w:r>
              <w:t>X</w:t>
            </w:r>
          </w:p>
        </w:tc>
      </w:tr>
      <w:tr>
        <w:tc>
          <w:tcPr>
            <w:tcW w:type="dxa" w:w="2880"/>
          </w:tcPr>
          <w:p>
            <w:r>
              <w:t>MAKTX (Description)</w:t>
            </w:r>
          </w:p>
        </w:tc>
        <w:tc>
          <w:tcPr>
            <w:tcW w:type="dxa" w:w="2880"/>
          </w:tcPr>
          <w:p>
            <w:r>
              <w:t>MAKTX</w:t>
            </w:r>
          </w:p>
        </w:tc>
        <w:tc>
          <w:tcPr>
            <w:tcW w:type="dxa" w:w="2880"/>
          </w:tcPr>
          <w:p>
            <w:r/>
          </w:p>
        </w:tc>
      </w:tr>
      <w:tr>
        <w:tc>
          <w:tcPr>
            <w:tcW w:type="dxa" w:w="2880"/>
          </w:tcPr>
          <w:p>
            <w:r>
              <w:t>MTART (Material Type)</w:t>
            </w:r>
          </w:p>
        </w:tc>
        <w:tc>
          <w:tcPr>
            <w:tcW w:type="dxa" w:w="2880"/>
          </w:tcPr>
          <w:p>
            <w:r>
              <w:t>MTART</w:t>
            </w:r>
          </w:p>
        </w:tc>
        <w:tc>
          <w:tcPr>
            <w:tcW w:type="dxa" w:w="2880"/>
          </w:tcPr>
          <w:p>
            <w:r/>
          </w:p>
        </w:tc>
      </w:tr>
      <w:tr>
        <w:tc>
          <w:tcPr>
            <w:tcW w:type="dxa" w:w="2880"/>
          </w:tcPr>
          <w:p>
            <w:r>
              <w:t>LIFNR (Vendor No.)</w:t>
            </w:r>
          </w:p>
        </w:tc>
        <w:tc>
          <w:tcPr>
            <w:tcW w:type="dxa" w:w="2880"/>
          </w:tcPr>
          <w:p>
            <w:r>
              <w:t>LIFNR</w:t>
            </w:r>
          </w:p>
        </w:tc>
        <w:tc>
          <w:tcPr>
            <w:tcW w:type="dxa" w:w="2880"/>
          </w:tcPr>
          <w:p>
            <w:r/>
          </w:p>
        </w:tc>
      </w:tr>
      <w:tr>
        <w:tc>
          <w:tcPr>
            <w:tcW w:type="dxa" w:w="2880"/>
          </w:tcPr>
          <w:p>
            <w:r>
              <w:t>LIFNR_NAME (Vendor Name)</w:t>
            </w:r>
          </w:p>
        </w:tc>
        <w:tc>
          <w:tcPr>
            <w:tcW w:type="dxa" w:w="2880"/>
          </w:tcPr>
          <w:p>
            <w:r>
              <w:t>NAME1</w:t>
            </w:r>
          </w:p>
        </w:tc>
        <w:tc>
          <w:tcPr>
            <w:tcW w:type="dxa" w:w="2880"/>
          </w:tcPr>
          <w:p>
            <w:r/>
          </w:p>
        </w:tc>
      </w:tr>
      <w:tr>
        <w:tc>
          <w:tcPr>
            <w:tcW w:type="dxa" w:w="2880"/>
          </w:tcPr>
          <w:p>
            <w:r>
              <w:t>LVORM (Deletion Flag)</w:t>
            </w:r>
          </w:p>
        </w:tc>
        <w:tc>
          <w:tcPr>
            <w:tcW w:type="dxa" w:w="2880"/>
          </w:tcPr>
          <w:p>
            <w:r>
              <w:t>LVORM</w:t>
            </w:r>
          </w:p>
        </w:tc>
        <w:tc>
          <w:tcPr>
            <w:tcW w:type="dxa" w:w="2880"/>
          </w:tcPr>
          <w:p>
            <w:r/>
          </w:p>
        </w:tc>
      </w:tr>
      <w:tr>
        <w:tc>
          <w:tcPr>
            <w:tcW w:type="dxa" w:w="2880"/>
          </w:tcPr>
          <w:p>
            <w:r>
              <w:t>[Additional Filter Fields]</w:t>
            </w:r>
          </w:p>
        </w:tc>
        <w:tc>
          <w:tcPr>
            <w:tcW w:type="dxa" w:w="2880"/>
          </w:tcPr>
          <w:p>
            <w:r>
              <w:t>[To Be Filled]</w:t>
            </w:r>
          </w:p>
        </w:tc>
        <w:tc>
          <w:tcPr>
            <w:tcW w:type="dxa" w:w="2880"/>
          </w:tcPr>
          <w:p>
            <w:r/>
          </w:p>
        </w:tc>
      </w:tr>
    </w:tbl>
    <w:p>
      <w:bookmarkStart w:id="7" w:name="sec_7"/>
      <w:pPr>
        <w:pStyle w:val="Heading1"/>
      </w:pPr>
      <w:r>
        <w:t>7. SECTION: 7. Function Module</w:t>
      </w:r>
      <w:bookmarkEnd w:id="7"/>
    </w:p>
    <w:p>
      <w:pPr/>
      <w:r>
        <w:rPr>
          <w:b w:val="0"/>
        </w:rPr>
        <w:t>The custom function module supporting the PO upload process is invoked by the PO Excel interface to automate the creation of purchase orders in SAP. It is called when a user submits a batch of PO entries for upload, fulfilling the critical requirement of orchestrated, validated PO posting with real-time feedback on data accuracy and process status.</w:t>
      </w:r>
    </w:p>
    <w:p>
      <w:pPr/>
      <w:r>
        <w:rPr>
          <w:b w:val="0"/>
        </w:rPr>
        <w:t>Functionally, the module performs sequential operations: it first validates all input data (vendor, plant, material, quantity, and unit of measure), ensuring mandatory fields are present and conform to SAP master data constraints. Upon successful validation, input entries are mapped to the required BAPI structures, after which BAPI_PO_CREATE1 is called to create or update the purchase order in SAP. The module then invokes BAPI_TRANSACTION_COMMIT to persistently save the transaction if the BAPI execution is free of errors that would prevent posting.</w:t>
      </w:r>
    </w:p>
    <w:p>
      <w:pPr/>
      <w:r>
        <w:rPr>
          <w:b w:val="0"/>
        </w:rPr>
        <w:t>The inputs to the function module comprise: vendor number (LIFNR), plant (WERKS), material number (MATNR), quantity (MENGE), and unit of measure (MEINS). Outputs include the resulting PO number upon successful creation and a collection of BAPIRET2 message structures—these relay process feedback, including errors, warnings, and informational messages back to the user interface. In alignment with robust error handling design, any errors returned in the BAPIRET2 message table will cause the transaction to halt and rollback, while warnings are captured in the upload log but do not impede posting.</w:t>
      </w:r>
    </w:p>
    <w:p>
      <w:pPr/>
      <w:r>
        <w:rPr>
          <w:b w:val="0"/>
        </w:rPr>
        <w:t>Critical logic includes integrating with the ZCL_MM_PO_UPLOAD global class to coordinate validation, mapping, BAPI invocation, logging to ZMM_PO_UPLOAD_LOG, and collating final results for user display. This modular and robust interface ensures auditability, transactional integrity, and a seamless user experience during high-volume or complex PO upload scenarios.</w:t>
      </w:r>
    </w:p>
    <w:p>
      <w:bookmarkStart w:id="8" w:name="sec_8"/>
      <w:pPr>
        <w:pStyle w:val="Heading1"/>
      </w:pPr>
      <w:r>
        <w:t>8. SECTION: 8. Global Class</w:t>
      </w:r>
      <w:bookmarkEnd w:id="8"/>
    </w:p>
    <w:p>
      <w:pPr/>
      <w:r>
        <w:rPr>
          <w:b w:val="0"/>
        </w:rPr>
        <w:t>The global class ZCL_MM_PO_UPLOAD is designed as the central orchestrator for the bulk PO upload process within SAP, ensuring robust data handling and seamless integration with standard purchasing functionalities. Its primary responsibility is to process user-submitted PO data from an Excel file, perform comprehensive validation, coordinate creation of purchase orders utilizing standard BAPIs, and manage systematic logging and messaging back to the user interface.</w:t>
      </w:r>
    </w:p>
    <w:p>
      <w:pPr/>
      <w:r>
        <w:rPr>
          <w:b w:val="0"/>
        </w:rPr>
        <w:t>Architecturally, the class encapsulates its operations through a disciplined structure of public methods—each catering to a well-defined stage of the bulk upload cycle. Public methods are organized into functional groups including initialization (loading selection parameters and file contents), data fetching (reading and parsing Excel data), validation (verifying vendors, materials, and purchasing organizations against master data), processing (calling BAPI_PO_CREATE1 and BAPI_TRANSACTION_COMMIT for PO creation/updating), result logging (persisting audit trails and upload outcomes in the custom log table ZMM_PO_UPLOAD_LOG), and output display (populating ALV reports for user review). The implementation further leverages private helper routines for internal checks and structured data mapping. The class does not directly inherit from SAP standard classes but may implement relevant interfaces for error handling or ALV data provisioning, as dictated by the framework.</w:t>
      </w:r>
    </w:p>
    <w:p>
      <w:pPr/>
      <w:r>
        <w:rPr>
          <w:b w:val="0"/>
        </w:rPr>
        <w:t>Major attribute groups include configuration parameters (such as file path, selection screen criteria, and user context), collections for input data and result messages, as well as temporary structures mirroring ZSTR_MM_PO_UPLOAD for transactional staging. The separation of these attribute sets supports clear state management and thread-safe processing.</w:t>
      </w:r>
    </w:p>
    <w:p>
      <w:pPr/>
      <w:r>
        <w:rPr>
          <w:b w:val="0"/>
        </w:rPr>
        <w:t>Exception handling leverages ABAP Classes’ OOP paradigms—business rule errors and BAPI failures are captured as typed exceptions, either terminating the current transaction while logging the fault, or bypassing invalid entries as needed. Warnings are distinctly categorized, logged for audit purposes, and surfaced in the ALV results without halting execution; this ensures compliance with the requirement that only error-free items proceed to posting.</w:t>
      </w:r>
    </w:p>
    <w:p>
      <w:pPr/>
      <w:r>
        <w:rPr>
          <w:b w:val="0"/>
        </w:rPr>
        <w:t>The class design exemplifies established object-oriented principles: encapsulation ensures all file, validation, and posting logic is internally cohesive and isolated from consumer modules; well-defined interfaces and method signatures promote maintainability and extensibility, allowing new business rules, fields, or integrations to be incorporated with minimal disruption; modularization enhances testability and reuse in other procurement automation scenarios.</w:t>
      </w:r>
    </w:p>
    <w:p>
      <w:pPr/>
      <w:r>
        <w:rPr>
          <w:b w:val="0"/>
        </w:rPr>
        <w:t>Overall, ZCL_MM_PO_UPLOAD provides a scalable, robust, and auditable backbone for bulk PO processing—supporting both technical efficiency and business governance as per the unified requirements.</w:t>
      </w:r>
    </w:p>
    <w:p>
      <w:bookmarkStart w:id="9" w:name="sec_9"/>
      <w:pPr>
        <w:pStyle w:val="Heading1"/>
      </w:pPr>
      <w:r>
        <w:t>9. SECTION: 9. Report Program</w:t>
      </w:r>
      <w:bookmarkEnd w:id="9"/>
    </w:p>
    <w:p>
      <w:pPr/>
      <w:r>
        <w:rPr>
          <w:b w:val="0"/>
        </w:rPr>
        <w:t>The bulk PO upload report program provides an integrated SAP GUI transaction enabling users to efficiently upload purchase order (PO) data in bulk from an Excel file. It guides the user through a structured process of selection, validation, processing, and result presentation, supporting either simulation or actual posting of POs to the SAP backend.</w:t>
      </w:r>
    </w:p>
    <w:p>
      <w:pPr/>
      <w:r>
        <w:rPr>
          <w:b w:val="0"/>
        </w:rPr>
        <w:t>Upon execution, users are presented with a selection screen capturing the key parameters required for bulk processing: purchasing organization, purchasing group, plant, file upload selection, and the simulation mode option. The interface ensures all essential fields are provided, and intuitive controls (such as the execute button and simulation checkbox) enable users to flexibly initiate either trial runs or actual PO postings. The uploaded Excel file is parsed, and its contents are mapped according to predefined field structures.</w:t>
      </w:r>
    </w:p>
    <w:p>
      <w:pPr/>
      <w:r>
        <w:rPr>
          <w:b w:val="0"/>
        </w:rPr>
        <w:t>The core processing logic is modularized using well-defined includes (TOP for global data/definitions, SEL for selection screen logic, F01 for form routines, ALV for output formatting). Upon file ingestion, the report validates each entry against master data tables (e.g., LFA1 for vendor, MARA for material, and purchasing organization/plant tables) and business rules ensuring only eligible data proceeds to further stages. Invalid or incomplete records are systematically excluded from posting and are instead logged and reported with detailed status messages.</w:t>
      </w:r>
    </w:p>
    <w:p>
      <w:pPr/>
      <w:r>
        <w:rPr>
          <w:b w:val="0"/>
        </w:rPr>
        <w:t>Validated entries are mapped to requisite BAPI structures, leveraging standard functions (including BAPI_PO_CREATE1 and BAPI_TRANSACTION_COMMIT) to create or update purchase orders. During simulation, the posting logic bypasses database commits but emulates end-to-end processing, displaying anticipated outcomes without altering system data. In actual execution mode, successful transactions are persistently posted and documented.</w:t>
      </w:r>
    </w:p>
    <w:p>
      <w:pPr/>
      <w:r>
        <w:rPr>
          <w:b w:val="0"/>
        </w:rPr>
        <w:t>All process outcomes—including PO number (on success), detailed error or warning messages, and operational status—are consolidated and presented via an ALV grid, supporting powerful sorting, filtering (by vendor, material, status), and drilldown (hotspot-enabled PO navigation to ME23N) capabilities. The comprehensive logging function writes results to the custom ZMM_PO_UPLOAD_LOG table, ensuring auditability and traceability of all uploads. Data sources chiefly include standard purchasing tables (EKKO for PO headers, EKPO for items), master data (LFA1, MARA), custom tables (e.g., upload log), and SAP BAPIs. The report thus orchestrates a robust, user-friendly interface for bulk PO management with full process transparency and control.</w:t>
      </w:r>
    </w:p>
    <w:p>
      <w:r>
        <w:br/>
        <w:t>Document generated by PWC AI-powered ABAP UDD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