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Functional Specification Document</w:t>
      </w:r>
    </w:p>
    <w:p>
      <w:pPr>
        <w:pStyle w:val="Heading1"/>
      </w:pPr>
      <w:r>
        <w:t>Index</w:t>
      </w:r>
    </w:p>
    <w:p>
      <w:pPr>
        <w:tabs>
          <w:tab w:pos="8640" w:val="right" w:leader="dot"/>
        </w:tabs>
      </w:pPr>
      <w:r>
        <w:t>1. Document Information</w:t>
        <w:tab/>
      </w:r>
      <w:r>
        <w:fldChar w:fldCharType="begin"/>
        <w:instrText xml:space="preserve">PAGEREF sec_1 \h</w:instrText>
        <w:fldChar w:fldCharType="separate"/>
        <w:t>1</w:t>
        <w:fldChar w:fldCharType="end"/>
      </w:r>
    </w:p>
    <w:p>
      <w:pPr>
        <w:tabs>
          <w:tab w:pos="8640" w:val="right" w:leader="dot"/>
        </w:tabs>
      </w:pPr>
      <w:r>
        <w:t>2. Introduction</w:t>
        <w:tab/>
      </w:r>
      <w:r>
        <w:fldChar w:fldCharType="begin"/>
        <w:instrText xml:space="preserve">PAGEREF sec_2 \h</w:instrText>
        <w:fldChar w:fldCharType="separate"/>
        <w:t>1</w:t>
        <w:fldChar w:fldCharType="end"/>
      </w:r>
    </w:p>
    <w:p>
      <w:pPr>
        <w:tabs>
          <w:tab w:pos="8640" w:val="right" w:leader="dot"/>
        </w:tabs>
      </w:pPr>
      <w:r>
        <w:t>3. Business Requirement Overview</w:t>
        <w:tab/>
      </w:r>
      <w:r>
        <w:fldChar w:fldCharType="begin"/>
        <w:instrText xml:space="preserve">PAGEREF sec_3 \h</w:instrText>
        <w:fldChar w:fldCharType="separate"/>
        <w:t>1</w:t>
        <w:fldChar w:fldCharType="end"/>
      </w:r>
    </w:p>
    <w:p>
      <w:pPr>
        <w:tabs>
          <w:tab w:pos="8640" w:val="right" w:leader="dot"/>
        </w:tabs>
      </w:pPr>
      <w:r>
        <w:t>4. Business Process Flow</w:t>
        <w:tab/>
      </w:r>
      <w:r>
        <w:fldChar w:fldCharType="begin"/>
        <w:instrText xml:space="preserve">PAGEREF sec_4 \h</w:instrText>
        <w:fldChar w:fldCharType="separate"/>
        <w:t>1</w:t>
        <w:fldChar w:fldCharType="end"/>
      </w:r>
    </w:p>
    <w:p>
      <w:pPr>
        <w:tabs>
          <w:tab w:pos="8640" w:val="right" w:leader="dot"/>
        </w:tabs>
      </w:pPr>
      <w:r>
        <w:t>5. Functional Scope</w:t>
        <w:tab/>
      </w:r>
      <w:r>
        <w:fldChar w:fldCharType="begin"/>
        <w:instrText xml:space="preserve">PAGEREF sec_5 \h</w:instrText>
        <w:fldChar w:fldCharType="separate"/>
        <w:t>1</w:t>
        <w:fldChar w:fldCharType="end"/>
      </w:r>
    </w:p>
    <w:p>
      <w:pPr>
        <w:tabs>
          <w:tab w:pos="8640" w:val="right" w:leader="dot"/>
        </w:tabs>
      </w:pPr>
      <w:r>
        <w:t>6. Functional Solution Approach</w:t>
        <w:tab/>
      </w:r>
      <w:r>
        <w:fldChar w:fldCharType="begin"/>
        <w:instrText xml:space="preserve">PAGEREF sec_6 \h</w:instrText>
        <w:fldChar w:fldCharType="separate"/>
        <w:t>1</w:t>
        <w:fldChar w:fldCharType="end"/>
      </w:r>
    </w:p>
    <w:p>
      <w:pPr>
        <w:tabs>
          <w:tab w:pos="8640" w:val="right" w:leader="dot"/>
        </w:tabs>
      </w:pPr>
      <w:r>
        <w:t>7. Functional Requirements</w:t>
        <w:tab/>
      </w:r>
      <w:r>
        <w:fldChar w:fldCharType="begin"/>
        <w:instrText xml:space="preserve">PAGEREF sec_7 \h</w:instrText>
        <w:fldChar w:fldCharType="separate"/>
        <w:t>1</w:t>
        <w:fldChar w:fldCharType="end"/>
      </w:r>
    </w:p>
    <w:p>
      <w:pPr>
        <w:tabs>
          <w:tab w:pos="8640" w:val="right" w:leader="dot"/>
        </w:tabs>
      </w:pPr>
      <w:r>
        <w:t>8. Interfaces &amp; Integration</w:t>
        <w:tab/>
      </w:r>
      <w:r>
        <w:fldChar w:fldCharType="begin"/>
        <w:instrText xml:space="preserve">PAGEREF sec_8 \h</w:instrText>
        <w:fldChar w:fldCharType="separate"/>
        <w:t>1</w:t>
        <w:fldChar w:fldCharType="end"/>
      </w:r>
    </w:p>
    <w:p>
      <w:pPr>
        <w:tabs>
          <w:tab w:pos="8640" w:val="right" w:leader="dot"/>
        </w:tabs>
      </w:pPr>
      <w:r>
        <w:t>9. Output</w:t>
        <w:tab/>
      </w:r>
      <w:r>
        <w:fldChar w:fldCharType="begin"/>
        <w:instrText xml:space="preserve">PAGEREF sec_9 \h</w:instrText>
        <w:fldChar w:fldCharType="separate"/>
        <w:t>1</w:t>
        <w:fldChar w:fldCharType="end"/>
      </w:r>
    </w:p>
    <w:p>
      <w:pPr>
        <w:tabs>
          <w:tab w:pos="8640" w:val="right" w:leader="dot"/>
        </w:tabs>
      </w:pPr>
      <w:r>
        <w:t>10. UI Requirement</w:t>
        <w:tab/>
      </w:r>
      <w:r>
        <w:fldChar w:fldCharType="begin"/>
        <w:instrText xml:space="preserve">PAGEREF sec_10 \h</w:instrText>
        <w:fldChar w:fldCharType="separate"/>
        <w:t>1</w:t>
        <w:fldChar w:fldCharType="end"/>
      </w:r>
    </w:p>
    <w:p>
      <w:pPr>
        <w:tabs>
          <w:tab w:pos="8640" w:val="right" w:leader="dot"/>
        </w:tabs>
      </w:pPr>
      <w:r>
        <w:t>11. Authorization &amp; Security</w:t>
        <w:tab/>
      </w:r>
      <w:r>
        <w:fldChar w:fldCharType="begin"/>
        <w:instrText xml:space="preserve">PAGEREF sec_11 \h</w:instrText>
        <w:fldChar w:fldCharType="separate"/>
        <w:t>1</w:t>
        <w:fldChar w:fldCharType="end"/>
      </w:r>
    </w:p>
    <w:p>
      <w:pPr>
        <w:tabs>
          <w:tab w:pos="8640" w:val="right" w:leader="dot"/>
        </w:tabs>
      </w:pPr>
      <w:r>
        <w:t>12. Error Handling &amp; Notifications</w:t>
        <w:tab/>
      </w:r>
      <w:r>
        <w:fldChar w:fldCharType="begin"/>
        <w:instrText xml:space="preserve">PAGEREF sec_12 \h</w:instrText>
        <w:fldChar w:fldCharType="separate"/>
        <w:t>1</w:t>
        <w:fldChar w:fldCharType="end"/>
      </w:r>
    </w:p>
    <w:p>
      <w:pPr>
        <w:tabs>
          <w:tab w:pos="8640" w:val="right" w:leader="dot"/>
        </w:tabs>
      </w:pPr>
      <w:r>
        <w:t>13. Assumptions &amp; Dependencies</w:t>
        <w:tab/>
      </w:r>
      <w:r>
        <w:fldChar w:fldCharType="begin"/>
        <w:instrText xml:space="preserve">PAGEREF sec_13 \h</w:instrText>
        <w:fldChar w:fldCharType="separate"/>
        <w:t>1</w:t>
        <w:fldChar w:fldCharType="end"/>
      </w:r>
    </w:p>
    <w:p>
      <w:pPr>
        <w:tabs>
          <w:tab w:pos="8640" w:val="right" w:leader="dot"/>
        </w:tabs>
      </w:pPr>
      <w:r>
        <w:t>14. Test Scenarios</w:t>
        <w:tab/>
      </w:r>
      <w:r>
        <w:fldChar w:fldCharType="begin"/>
        <w:instrText xml:space="preserve">PAGEREF sec_14 \h</w:instrText>
        <w:fldChar w:fldCharType="separate"/>
        <w:t>1</w:t>
        <w:fldChar w:fldCharType="end"/>
      </w:r>
    </w:p>
    <w:p>
      <w:pPr>
        <w:tabs>
          <w:tab w:pos="8640" w:val="right" w:leader="dot"/>
        </w:tabs>
      </w:pPr>
      <w:r>
        <w:t>15. Sign-Off</w:t>
        <w:tab/>
      </w:r>
      <w:r>
        <w:fldChar w:fldCharType="begin"/>
        <w:instrText xml:space="preserve">PAGEREF sec_15 \h</w:instrText>
        <w:fldChar w:fldCharType="separate"/>
        <w:t>1</w:t>
        <w:fldChar w:fldCharType="end"/>
      </w:r>
    </w:p>
    <w:p>
      <w:bookmarkStart w:id="1" w:name="sec_1"/>
      <w:pPr>
        <w:pStyle w:val="Heading1"/>
      </w:pPr>
      <w:r>
        <w:t>1. Document Information</w:t>
      </w:r>
      <w:bookmarkEnd w:id="1"/>
    </w:p>
    <w:tbl>
      <w:tblPr>
        <w:tblStyle w:val="LightList"/>
        <w:tblW w:type="auto" w:w="0"/>
        <w:tblLook w:firstColumn="1" w:firstRow="1" w:lastColumn="0" w:lastRow="0" w:noHBand="0" w:noVBand="1" w:val="04A0"/>
      </w:tblPr>
      <w:tblGrid>
        <w:gridCol w:w="1728"/>
        <w:gridCol w:w="1728"/>
        <w:gridCol w:w="1728"/>
        <w:gridCol w:w="1728"/>
        <w:gridCol w:w="1728"/>
      </w:tblGrid>
      <w:tr>
        <w:tc>
          <w:tcPr>
            <w:tcW w:type="dxa" w:w="1728"/>
          </w:tcPr>
          <w:p>
            <w:r>
              <w:t>Document Title</w:t>
            </w:r>
          </w:p>
        </w:tc>
        <w:tc>
          <w:tcPr>
            <w:tcW w:type="dxa" w:w="1728"/>
          </w:tcPr>
          <w:p>
            <w:r>
              <w:t>Project Name</w:t>
            </w:r>
          </w:p>
        </w:tc>
        <w:tc>
          <w:tcPr>
            <w:tcW w:type="dxa" w:w="1728"/>
          </w:tcPr>
          <w:p>
            <w:r>
              <w:t>Client Name</w:t>
            </w:r>
          </w:p>
        </w:tc>
        <w:tc>
          <w:tcPr>
            <w:tcW w:type="dxa" w:w="1728"/>
          </w:tcPr>
          <w:p>
            <w:r>
              <w:t>Prepared By (Author, Department)</w:t>
            </w:r>
          </w:p>
        </w:tc>
        <w:tc>
          <w:tcPr>
            <w:tcW w:type="dxa" w:w="1728"/>
          </w:tcPr>
          <w:p>
            <w:r>
              <w:t>Document Version &amp; Date</w:t>
            </w:r>
          </w:p>
        </w:tc>
      </w:tr>
      <w:tr>
        <w:tc>
          <w:tcPr>
            <w:tcW w:type="dxa" w:w="1728"/>
          </w:tcPr>
          <w:p>
            <w:r>
              <w:t>SAP Making Tax Digital report</w:t>
            </w:r>
          </w:p>
        </w:tc>
        <w:tc>
          <w:tcPr>
            <w:tcW w:type="dxa" w:w="1728"/>
          </w:tcPr>
          <w:p>
            <w:r>
              <w:t>SAP</w:t>
            </w:r>
          </w:p>
        </w:tc>
        <w:tc>
          <w:tcPr>
            <w:tcW w:type="dxa" w:w="1728"/>
          </w:tcPr>
          <w:p>
            <w:r>
              <w:t>PWC AI Asset</w:t>
            </w:r>
          </w:p>
        </w:tc>
        <w:tc>
          <w:tcPr>
            <w:tcW w:type="dxa" w:w="1728"/>
          </w:tcPr>
          <w:p>
            <w:r>
              <w:t>PWC AI Asset</w:t>
            </w:r>
          </w:p>
        </w:tc>
        <w:tc>
          <w:tcPr>
            <w:tcW w:type="dxa" w:w="1728"/>
          </w:tcPr>
          <w:p>
            <w:r>
              <w:t>1.0, 01.09.2025</w:t>
            </w:r>
          </w:p>
        </w:tc>
      </w:tr>
    </w:tbl>
    <w:p>
      <w:bookmarkStart w:id="2" w:name="sec_2"/>
      <w:pPr>
        <w:pStyle w:val="Heading1"/>
      </w:pPr>
      <w:r>
        <w:t>2. Introduction</w:t>
      </w:r>
      <w:bookmarkEnd w:id="2"/>
    </w:p>
    <w:p>
      <w:r>
        <w:t>This document outlines the technical specification for the SAP Making Tax Digital (MTD) report. The purpose of this document is to define the requirements and scope for developing a new SAP output that enables the download of monthly stock and VAT-related details for all materials maintained in SAP MM across various plants and storage locations. The scope includes enhancements over the existing Adhoc VAT report, such as additional output fields, CSV file format, and time-dependent VAT recovery rates. The intended audience for this document includes SAP technical consultants, developers, functional consultants, and business stakeholders involved in tax reporting and inventory reconciliation.</w:t>
      </w:r>
    </w:p>
    <w:p>
      <w:bookmarkStart w:id="3" w:name="sec_3"/>
      <w:pPr>
        <w:pStyle w:val="Heading1"/>
      </w:pPr>
      <w:r>
        <w:t>3. Business Requirement Overview</w:t>
      </w:r>
      <w:bookmarkEnd w:id="3"/>
    </w:p>
    <w:p>
      <w:r>
        <w:t>The business requires a new SAP report to support the Making Tax Digital (MTD) initiative. The main objective is to provide a downloadable CSV file containing monthly stock and VAT details, improving upon the existing Adhoc VAT report. Key requirements include the addition of new output fields, the ability to generate discrete downloads for various report types (e.g., by GL, VAT code, profit centre), and ensuring that VAT recovery rates are applied based on the posting period (time-dependent), rather than using current rates for historical data. The solution aims to streamline inventory monitoring, reconciliation, and monthly closing activities, while addressing pain points such as manual data manipulation, incorrect VAT rate application, and inefficient report formats.</w:t>
      </w:r>
    </w:p>
    <w:p>
      <w:bookmarkStart w:id="4" w:name="sec_4"/>
      <w:pPr>
        <w:pStyle w:val="Heading1"/>
      </w:pPr>
      <w:r>
        <w:t>4. Business Process Flow</w:t>
      </w:r>
      <w:bookmarkEnd w:id="4"/>
    </w:p>
    <w:p>
      <w:r>
        <w:t>Start</w:t>
      </w:r>
    </w:p>
    <w:p>
      <w:r>
        <w:t>-&gt;</w:t>
      </w:r>
    </w:p>
    <w:p>
      <w:r>
        <w:t>User accesses SAP and selects the Making Tax Digital (MTD) report</w:t>
      </w:r>
    </w:p>
    <w:p>
      <w:r>
        <w:t>-&gt;</w:t>
      </w:r>
    </w:p>
    <w:p>
      <w:r>
        <w:t>User enters selection criteria (Company Code, Tax Code, Posting Periods, Report Options, Document Type, Profit Centre, Special VAT Codes)</w:t>
      </w:r>
    </w:p>
    <w:p>
      <w:r>
        <w:t>-&gt;</w:t>
      </w:r>
    </w:p>
    <w:p>
      <w:r>
        <w:t>User chooses report type (Summary, Details, Summary by VAT Code, Summary by GL Account, Summary by Profit Centre, Royal Mail Input Tax Accrual)</w:t>
      </w:r>
    </w:p>
    <w:p>
      <w:r>
        <w:t>-&gt;</w:t>
      </w:r>
    </w:p>
    <w:p>
      <w:r>
        <w:t>System validates input parameters and mandatory fields</w:t>
      </w:r>
    </w:p>
    <w:p>
      <w:r>
        <w:t>-&gt;</w:t>
      </w:r>
    </w:p>
    <w:p>
      <w:r>
        <w:t>If "Enable File to be Chosen" is selected</w:t>
      </w:r>
    </w:p>
    <w:p>
      <w:r>
        <w:t>-&gt; User selects previously generated file and download location</w:t>
      </w:r>
    </w:p>
    <w:p>
      <w:r>
        <w:t>-&gt; System checks required fields for file download</w:t>
      </w:r>
    </w:p>
    <w:p>
      <w:r>
        <w:t>-&gt; File is downloaded to specified location</w:t>
      </w:r>
    </w:p>
    <w:p>
      <w:r>
        <w:t>-&gt; End</w:t>
      </w:r>
    </w:p>
    <w:p>
      <w:r>
        <w:t>Else</w:t>
      </w:r>
    </w:p>
    <w:p>
      <w:r>
        <w:t>-&gt; System executes report in background</w:t>
      </w:r>
    </w:p>
    <w:p>
      <w:r>
        <w:t>-&gt; System generates CSV output file(s) as per selected report type</w:t>
      </w:r>
    </w:p>
    <w:p>
      <w:r>
        <w:t>-&gt; System displays completion message and makes file(s) available for download</w:t>
      </w:r>
    </w:p>
    <w:p>
      <w:r>
        <w:t>-&gt; End</w:t>
      </w:r>
    </w:p>
    <w:p>
      <w:bookmarkStart w:id="5" w:name="sec_5"/>
      <w:pPr>
        <w:pStyle w:val="Heading1"/>
      </w:pPr>
      <w:r>
        <w:t>5. Functional Scope</w:t>
      </w:r>
      <w:bookmarkEnd w:id="5"/>
    </w:p>
    <w:p>
      <w:r>
        <w:t>1. In-Scope Items</w:t>
      </w:r>
    </w:p>
    <w:p>
      <w:r>
        <w:t>1.1. Development of a new SAP report to support the Making Tax Digital (MTD) project, providing a downloadable CSV file output.</w:t>
      </w:r>
    </w:p>
    <w:p>
      <w:r>
        <w:t>1.2. The report will provide monthly stock details for all materials maintained in SAP MM across various plants and storage locations, including warehouses.</w:t>
      </w:r>
    </w:p>
    <w:p>
      <w:r>
        <w:t>1.3. The report will assist in inventory monitoring, reconciliation, and monthly closing activities.</w:t>
      </w:r>
    </w:p>
    <w:p>
      <w:r>
        <w:t>1.4. The new report will be based on the existing SAP Adhoc VAT report, with enhancements including:</w:t>
      </w:r>
    </w:p>
    <w:p>
      <w:r>
        <w:t>• Addition of new fields to the output.</w:t>
      </w:r>
    </w:p>
    <w:p>
      <w:r>
        <w:t>• Output as a downloadable CSV file, eliminating the need for post-processing of SAP spooled reports.</w:t>
      </w:r>
    </w:p>
    <w:p>
      <w:r>
        <w:t>• Discrete downloads for each current adhoc output, such as output by GL, summary by VAT code, etc.</w:t>
      </w:r>
    </w:p>
    <w:p>
      <w:r>
        <w:t>1.5. The report will use time-dependent VAT recovery rates, ensuring that the correct VAT rate at the time of posting is applied, rather than the current rate.</w:t>
      </w:r>
    </w:p>
    <w:p>
      <w:r>
        <w:t>1.6. The selection screen will include parameters for Company Code, Tax Code, Posting Periods (From/To Period and Year), Document Type, Profit Centre, Partially Recoverable Car Hire, Wholly Recoverable Car Hire, and options for previously generated files.</w:t>
      </w:r>
    </w:p>
    <w:p>
      <w:r>
        <w:t>1.7. The selection screen will use radio buttons for mutually exclusive report options and checkboxes for summary group reports, allowing reports to be run individually or together.</w:t>
      </w:r>
    </w:p>
    <w:p>
      <w:r>
        <w:t>1.8. The report can only be run in background to generate a new file. Users can select and download previously generated files from the server.</w:t>
      </w:r>
    </w:p>
    <w:p>
      <w:r>
        <w:t>1.9. The output file will be in CSV format, with a single header row, no totaling or sub-totaling, and specific formatting for currency and date fields.</w:t>
      </w:r>
    </w:p>
    <w:p>
      <w:r>
        <w:t>1.10. The report will provide multiple output formats, including:</w:t>
      </w:r>
    </w:p>
    <w:p>
      <w:r>
        <w:t>• Calendarised Report</w:t>
      </w:r>
    </w:p>
    <w:p>
      <w:r>
        <w:t>• Summary Report</w:t>
      </w:r>
    </w:p>
    <w:p>
      <w:r>
        <w:t>• Details Report</w:t>
      </w:r>
    </w:p>
    <w:p>
      <w:r>
        <w:t>• Summary by VAT Code</w:t>
      </w:r>
    </w:p>
    <w:p>
      <w:r>
        <w:t>• Summary by GL Account Code</w:t>
      </w:r>
    </w:p>
    <w:p>
      <w:r>
        <w:t>• Summary by Profit Centre</w:t>
      </w:r>
    </w:p>
    <w:p>
      <w:r>
        <w:t>• Royal Mail – Input Tax Accruals Download</w:t>
      </w:r>
    </w:p>
    <w:p>
      <w:r>
        <w:t>1.11. Each report format will have a defined layout and sorting logic, as specified in the requirements.</w:t>
      </w:r>
    </w:p>
    <w:p>
      <w:r>
        <w:t>1.12. The report will include derived fields such as Basic Income, Basic Expenditure, Output VAT, Partially Recoverable VAT, Wholly Recoverable VAT, VAT on Acquisitions, VAT Control a/cs Balance, and Vendor VAT Registration.</w:t>
      </w:r>
    </w:p>
    <w:p>
      <w:r>
        <w:t>1.13. The report will include validation logic for all selection parameters, including mandatory checks, value validation, and error messaging.</w:t>
      </w:r>
    </w:p>
    <w:p>
      <w:r>
        <w:t>1.14. A completion report will be generated as a spool output, listing user, start/end date and time, and all generated filenames.</w:t>
      </w:r>
    </w:p>
    <w:p>
      <w:r>
        <w:t>1.15. Authorization checks will ensure only users with appropriate roles (e.g., Tax User, Finance Controller) can access the report.</w:t>
      </w:r>
    </w:p>
    <w:p>
      <w:r>
        <w:t>2. Out-of-Scope Items</w:t>
      </w:r>
    </w:p>
    <w:p>
      <w:r>
        <w:t>2.1. Development of additional MTD reports mooted in version 2.0 quote is not required.</w:t>
      </w:r>
    </w:p>
    <w:p>
      <w:r>
        <w:t>2.2. Any changes to the existing SAP Adhoc VAT report outside the enhancements specified for the MTD report.</w:t>
      </w:r>
    </w:p>
    <w:p>
      <w:r>
        <w:t>2.3. Manual post-processing of output files (e.g., adding/removing headers, trailers, or special characters) is not required, as the output will be a clean CSV.</w:t>
      </w:r>
    </w:p>
    <w:p>
      <w:r>
        <w:t>2.4. Real-time or online execution of the report is not supported; the report is only executable in background mode.</w:t>
      </w:r>
    </w:p>
    <w:p>
      <w:r>
        <w:t>2.5. Any changes to the underlying SAP MM or FI data structures beyond what is required for the report extraction and output.</w:t>
      </w:r>
    </w:p>
    <w:p>
      <w:r>
        <w:t>2.6. Integration with external systems or non-SAP platforms is not included.</w:t>
      </w:r>
    </w:p>
    <w:p>
      <w:r>
        <w:t>2.7. Any business process changes outside the scope of report generation and download.</w:t>
      </w:r>
    </w:p>
    <w:p>
      <w:r>
        <w:t>2.8. The report does not provide on-screen display or interactive analytics; all outputs are in CSV file format.</w:t>
      </w:r>
    </w:p>
    <w:p>
      <w:r>
        <w:t>2.9. The report does not include any functionality for automatic emailing or distribution of the generated files.</w:t>
      </w:r>
    </w:p>
    <w:p>
      <w:r>
        <w:t>2.10. The report does not provide for the creation of totals reports per Company Code as in the existing VAT report ZPFRR029V3; this can be achieved by users via Excel.</w:t>
      </w:r>
    </w:p>
    <w:p>
      <w:bookmarkStart w:id="6" w:name="sec_6"/>
      <w:pPr>
        <w:pStyle w:val="Heading1"/>
      </w:pPr>
      <w:r>
        <w:t>6. Functional Solution Approach</w:t>
      </w:r>
      <w:bookmarkEnd w:id="6"/>
    </w:p>
    <w:p>
      <w:r>
        <w:t>The business requirement to provide a Making Tax Digital (MTD) report from SAP will be addressed by enhancing the existing Adhoc VAT report functionality. The new solution will introduce additional fields to the output and change the output format to a downloadable CSV file, eliminating the need for manual manipulation of SAP spooled reports. The report will support discrete downloads for each current Adhoc output, such as by GL, summary by VAT code, and others, with the flexibility to run summary reports together or individually.</w:t>
      </w:r>
    </w:p>
    <w:p>
      <w:r>
        <w:t>The solution will ensure that VAT recovery rates are applied based on the time period of the transaction, addressing the limitation in the current report where non-time-dependent VAT rates could lead to incorrect calculations for historical data. The new report will use time-dependent recovery logic to ensure accuracy for each period.</w:t>
      </w:r>
    </w:p>
    <w:p>
      <w:r>
        <w:t>The selection screen will be redesigned to use radio buttons for mutually exclusive report options and checkboxes for summary group reports, allowing users to run reports individually or in groups. Input parameters can be saved as variants, and the program will be executed in the background to generate files. Users will have the option to select previously generated files for download, with server-side browsing and download location selection.</w:t>
      </w:r>
    </w:p>
    <w:p>
      <w:r>
        <w:t>Mandatory and optional fields will be validated according to SAP standard tables (e.g., T001 for Company Code, T007A for Tax Code, T003 for Document Type, CEPC for Profit Centre). Special logic will be implemented for fields such as Partially and Wholly Recoverable Car Hire VAT codes, ensuring only valid input tax codes are accepted.</w:t>
      </w:r>
    </w:p>
    <w:p>
      <w:r>
        <w:t>The output files will be in CSV format with a single header row, no totaling or sub-totaling, and standardized formats for currency and dates. Each report type (Calendarised, Summary, Details, Summary by VAT Code, Summary by GL Account, Summary by Profit Centre, Royal Mail Input Tax Accruals) will have a defined layout and sorting logic, with common fields included across all outputs. The solution will also provide a completion report listing the generated files and execution details.</w:t>
      </w:r>
    </w:p>
    <w:p>
      <w:r>
        <w:t>Authorization will be enforced so that only users with appropriate roles (e.g., Tax User, Finance Controller) can access the report. The solution assumes that monthly closing activities are completed before execution to ensure data accuracy and will be developed in ABAP for deployment in SAP GUI or Fiori.</w:t>
      </w:r>
    </w:p>
    <w:p>
      <w:bookmarkStart w:id="7" w:name="sec_7"/>
      <w:pPr>
        <w:pStyle w:val="Heading1"/>
      </w:pPr>
      <w:r>
        <w:t>7. Functional Requirements</w:t>
      </w:r>
      <w:bookmarkEnd w:id="7"/>
    </w:p>
    <w:p>
      <w:r>
        <w:t>[Error: Section Functional Requirements not found in LLM output.]</w:t>
      </w:r>
    </w:p>
    <w:p>
      <w:bookmarkStart w:id="8" w:name="sec_8"/>
      <w:pPr>
        <w:pStyle w:val="Heading1"/>
      </w:pPr>
      <w:r>
        <w:t>8. Interfaces &amp; Integration</w:t>
      </w:r>
      <w:bookmarkEnd w:id="8"/>
    </w:p>
    <w:p>
      <w:r>
        <w:t>No functional interfaces are specified in the provided payload for this report.</w:t>
      </w:r>
    </w:p>
    <w:p>
      <w:bookmarkStart w:id="9" w:name="sec_9"/>
      <w:pPr>
        <w:pStyle w:val="Heading1"/>
      </w:pPr>
      <w:r>
        <w:t>9. Output</w:t>
      </w:r>
      <w:bookmarkEnd w:id="9"/>
    </w:p>
    <w:p>
      <w:r>
        <w:t>[Error: AI section generation failed for 'Output': Request timed out.]</w:t>
      </w:r>
    </w:p>
    <w:p>
      <w:bookmarkStart w:id="10" w:name="sec_10"/>
      <w:pPr>
        <w:pStyle w:val="Heading1"/>
      </w:pPr>
      <w:r>
        <w:t>10. UI Requirement</w:t>
      </w:r>
      <w:bookmarkEnd w:id="10"/>
    </w:p>
    <w:p>
      <w:r>
        <w:t>[Error: Section UI Requirement not found in LLM output.]</w:t>
      </w:r>
    </w:p>
    <w:p>
      <w:bookmarkStart w:id="11" w:name="sec_11"/>
      <w:pPr>
        <w:pStyle w:val="Heading1"/>
      </w:pPr>
      <w:r>
        <w:t>11. Authorization &amp; Security</w:t>
      </w:r>
      <w:bookmarkEnd w:id="11"/>
    </w:p>
    <w:tbl>
      <w:tblPr>
        <w:tblStyle w:val="LightList"/>
        <w:tblW w:type="auto" w:w="0"/>
        <w:tblLook w:firstColumn="1" w:firstRow="1" w:lastColumn="0" w:lastRow="0" w:noHBand="0" w:noVBand="1" w:val="04A0"/>
      </w:tblPr>
      <w:tblGrid>
        <w:gridCol w:w="2160"/>
        <w:gridCol w:w="2160"/>
        <w:gridCol w:w="2160"/>
        <w:gridCol w:w="2160"/>
      </w:tblGrid>
      <w:tr>
        <w:tc>
          <w:tcPr>
            <w:tcW w:type="dxa" w:w="2160"/>
          </w:tcPr>
          <w:p>
            <w:r>
              <w:t>Role/Profile</w:t>
            </w:r>
          </w:p>
        </w:tc>
        <w:tc>
          <w:tcPr>
            <w:tcW w:type="dxa" w:w="2160"/>
          </w:tcPr>
          <w:p>
            <w:r>
              <w:t>Authorization Object</w:t>
            </w:r>
          </w:p>
        </w:tc>
        <w:tc>
          <w:tcPr>
            <w:tcW w:type="dxa" w:w="2160"/>
          </w:tcPr>
          <w:p>
            <w:r>
              <w:t>Access Level</w:t>
            </w:r>
          </w:p>
        </w:tc>
        <w:tc>
          <w:tcPr>
            <w:tcW w:type="dxa" w:w="2160"/>
          </w:tcPr>
          <w:p>
            <w:r>
              <w:t>Description</w:t>
            </w:r>
          </w:p>
        </w:tc>
      </w:tr>
      <w:tr>
        <w:tc>
          <w:tcPr>
            <w:tcW w:type="dxa" w:w="2160"/>
          </w:tcPr>
          <w:p>
            <w:r>
              <w:t>Tax User</w:t>
            </w:r>
          </w:p>
        </w:tc>
        <w:tc>
          <w:tcPr>
            <w:tcW w:type="dxa" w:w="2160"/>
          </w:tcPr>
          <w:p>
            <w:r>
              <w:t>[To Be Filled]</w:t>
            </w:r>
          </w:p>
        </w:tc>
        <w:tc>
          <w:tcPr>
            <w:tcW w:type="dxa" w:w="2160"/>
          </w:tcPr>
          <w:p>
            <w:r>
              <w:t>[To Be Filled]</w:t>
            </w:r>
          </w:p>
        </w:tc>
        <w:tc>
          <w:tcPr>
            <w:tcW w:type="dxa" w:w="2160"/>
          </w:tcPr>
          <w:p>
            <w:r>
              <w:t>Report should only be accessible to users with the appropriate roles.</w:t>
            </w:r>
          </w:p>
        </w:tc>
      </w:tr>
      <w:tr>
        <w:tc>
          <w:tcPr>
            <w:tcW w:type="dxa" w:w="2160"/>
          </w:tcPr>
          <w:p>
            <w:r>
              <w:t>Finance Controller</w:t>
            </w:r>
          </w:p>
        </w:tc>
        <w:tc>
          <w:tcPr>
            <w:tcW w:type="dxa" w:w="2160"/>
          </w:tcPr>
          <w:p>
            <w:r>
              <w:t>[To Be Filled]</w:t>
            </w:r>
          </w:p>
        </w:tc>
        <w:tc>
          <w:tcPr>
            <w:tcW w:type="dxa" w:w="2160"/>
          </w:tcPr>
          <w:p>
            <w:r>
              <w:t>[To Be Filled]</w:t>
            </w:r>
          </w:p>
        </w:tc>
        <w:tc>
          <w:tcPr>
            <w:tcW w:type="dxa" w:w="2160"/>
          </w:tcPr>
          <w:p>
            <w:r>
              <w:t>Report should only be accessible to users with the appropriate roles.</w:t>
            </w:r>
          </w:p>
        </w:tc>
      </w:tr>
    </w:tbl>
    <w:p>
      <w:bookmarkStart w:id="12" w:name="sec_12"/>
      <w:pPr>
        <w:pStyle w:val="Heading1"/>
      </w:pPr>
      <w:r>
        <w:t>12. Error Handling &amp; Notifications</w:t>
      </w:r>
      <w:bookmarkEnd w:id="12"/>
    </w:p>
    <w:p>
      <w:r>
        <w:t>1. If the "Royal Mail – Input Tax Accrual" (P_ITA) checkbox is selected, the posting date from (P_BUDAT_FROM) and posting date to (P_BUDAT_TO) fields must have an input; these fields become mandatory. An error message should be shown if the report is executed with P_ITA selected but no entry in the posting date from and to fields.</w:t>
      </w:r>
    </w:p>
    <w:p>
      <w:r>
        <w:t>2. A check should be made on the values in the posting date fields. They must be a date, in the correct format and valid. The From date must be lower than the To date.</w:t>
      </w:r>
    </w:p>
    <w:p>
      <w:r>
        <w:t>3. If the "Enable File to be Chosen" button (P_VIEW) is selected, then the Choose File field and the Choose Download Location field become available for input. All other mandatory fields should be ignored if this button is selected; the user should not be required to enter any information in the Company, Posting Periods, Report Options, or Special VAT Codes sections.</w:t>
      </w:r>
    </w:p>
    <w:p>
      <w:r>
        <w:t>4. If the "Download File" button (P_DOWN) is selected, there should be a check that there are values in both the Choose File field and the Choose Download Location field. An error message should be shown if either or both of the fields are not populated. All other mandatory fields should be ignored if this button is selected.</w:t>
      </w:r>
    </w:p>
    <w:p>
      <w:r>
        <w:t>5. Before the program can be executed, the selection parameters should be checked and an error issued if there is any issue with the contents of the parameter field (as outlined in the technical field).</w:t>
      </w:r>
    </w:p>
    <w:p>
      <w:r>
        <w:t>6. A message should be shown when the program is executed in background to confirm that the job is being executed in background.</w:t>
      </w:r>
    </w:p>
    <w:p>
      <w:r>
        <w:t>7. When clicking on the Download File button, a message should be shown to confirm the file has been downloaded to the specified location.</w:t>
      </w:r>
    </w:p>
    <w:p>
      <w:bookmarkStart w:id="13" w:name="sec_13"/>
      <w:pPr>
        <w:pStyle w:val="Heading1"/>
      </w:pPr>
      <w:r>
        <w:t>13. Assumptions &amp; Dependencies</w:t>
      </w:r>
      <w:bookmarkEnd w:id="13"/>
    </w:p>
    <w:p>
      <w:r>
        <w:t>1. The report will be developed using ABAP and deployed in SAP GUI or Fiori.</w:t>
      </w:r>
    </w:p>
    <w:p>
      <w:r>
        <w:t>2. Monthly closing activities are completed before report execution to ensure data accuracy.</w:t>
      </w:r>
    </w:p>
    <w:p>
      <w:r>
        <w:t>3. For the details report, if a profit centre(s) are added in the parameters on the selection screen, then if a document contains a GL line item with the profit centre, all the GL line items on that document (except customer and vendor line items) will be shown regardless of the other line items' Profit Centre content.</w:t>
      </w:r>
    </w:p>
    <w:p>
      <w:r>
        <w:t>4. As a consequence of the above, it is assumed that a document line item should only appear once in the report.</w:t>
      </w:r>
    </w:p>
    <w:p>
      <w:r>
        <w:t>5. A GL line should only appear once in the report.</w:t>
      </w:r>
    </w:p>
    <w:p>
      <w:r>
        <w:t>6. If there is an entry in the Profit Centre parameters (S_PRCTR), all GL line items for a document will be included in the report. This means that although the data will still be restricted by Company Codes (S_BUKRS), VAT Codes (S_MWSKZ), and for the Periods (P_perfr, P_perto, P_yrfr, and P_yrto) in the initial data selection, if additional GL line items are to be included to meet the new requirement, then it is possible that the additional line items may have a VAT code that was not in the parameters (S_MWSKZ).</w:t>
      </w:r>
    </w:p>
    <w:p>
      <w:r>
        <w:t>7. The report has the ability, and dependent on parameters, will show both Input and Output Tax, not just Input Tax as the name suggests.</w:t>
      </w:r>
    </w:p>
    <w:p>
      <w:bookmarkStart w:id="14" w:name="sec_14"/>
      <w:pPr>
        <w:pStyle w:val="Heading1"/>
      </w:pPr>
      <w:r>
        <w:t>14. Test Scenarios</w:t>
      </w:r>
      <w:bookmarkEnd w:id="14"/>
    </w:p>
    <w:tbl>
      <w:tblPr>
        <w:tblStyle w:val="LightList"/>
        <w:tblW w:type="auto" w:w="0"/>
        <w:tblLook w:firstColumn="1" w:firstRow="1" w:lastColumn="0" w:lastRow="0" w:noHBand="0" w:noVBand="1" w:val="04A0"/>
      </w:tblPr>
      <w:tblGrid>
        <w:gridCol w:w="1440"/>
        <w:gridCol w:w="1440"/>
        <w:gridCol w:w="1440"/>
        <w:gridCol w:w="1440"/>
        <w:gridCol w:w="1440"/>
        <w:gridCol w:w="1440"/>
      </w:tblGrid>
      <w:tr>
        <w:tc>
          <w:tcPr>
            <w:tcW w:type="dxa" w:w="1440"/>
          </w:tcPr>
          <w:p>
            <w:r>
              <w:t>Test Case ID</w:t>
            </w:r>
          </w:p>
        </w:tc>
        <w:tc>
          <w:tcPr>
            <w:tcW w:type="dxa" w:w="1440"/>
          </w:tcPr>
          <w:p>
            <w:r>
              <w:t>Objective</w:t>
            </w:r>
          </w:p>
        </w:tc>
        <w:tc>
          <w:tcPr>
            <w:tcW w:type="dxa" w:w="1440"/>
          </w:tcPr>
          <w:p>
            <w:r>
              <w:t>Input Data</w:t>
            </w:r>
          </w:p>
        </w:tc>
        <w:tc>
          <w:tcPr>
            <w:tcW w:type="dxa" w:w="1440"/>
          </w:tcPr>
          <w:p>
            <w:r>
              <w:t>Expected Output</w:t>
            </w:r>
          </w:p>
        </w:tc>
        <w:tc>
          <w:tcPr>
            <w:tcW w:type="dxa" w:w="1440"/>
          </w:tcPr>
          <w:p>
            <w:r>
              <w:t>Actual Result/Status</w:t>
            </w:r>
          </w:p>
        </w:tc>
        <w:tc>
          <w:tcPr>
            <w:tcW w:type="dxa" w:w="1440"/>
          </w:tcPr>
          <w:p>
            <w:r>
              <w:t>Sign-off/Comments</w:t>
            </w:r>
          </w:p>
        </w:tc>
      </w:tr>
      <w:tr>
        <w:tc>
          <w:tcPr>
            <w:tcW w:type="dxa" w:w="1440"/>
          </w:tcPr>
          <w:p>
            <w:r>
              <w:t>TC01</w:t>
            </w:r>
          </w:p>
        </w:tc>
        <w:tc>
          <w:tcPr>
            <w:tcW w:type="dxa" w:w="1440"/>
          </w:tcPr>
          <w:p>
            <w:r>
              <w:t>Verify selection screen mandatory and optional fields</w:t>
            </w:r>
          </w:p>
        </w:tc>
        <w:tc>
          <w:tcPr>
            <w:tcW w:type="dxa" w:w="1440"/>
          </w:tcPr>
          <w:p>
            <w:r>
              <w:t>Enter valid Company Code(s), Posting Periods, select Summary Report, leave optional fields blank</w:t>
            </w:r>
          </w:p>
        </w:tc>
        <w:tc>
          <w:tcPr>
            <w:tcW w:type="dxa" w:w="1440"/>
          </w:tcPr>
          <w:p>
            <w:r>
              <w:t>Report runs successfully, generates CSV file with correct summary data per Company Code</w:t>
            </w:r>
          </w:p>
        </w:tc>
        <w:tc>
          <w:tcPr>
            <w:tcW w:type="dxa" w:w="1440"/>
          </w:tcPr>
          <w:p>
            <w:r/>
          </w:p>
        </w:tc>
        <w:tc>
          <w:tcPr>
            <w:tcW w:type="dxa" w:w="1440"/>
          </w:tcPr>
          <w:p>
            <w:r/>
          </w:p>
        </w:tc>
      </w:tr>
      <w:tr>
        <w:tc>
          <w:tcPr>
            <w:tcW w:type="dxa" w:w="1440"/>
          </w:tcPr>
          <w:p>
            <w:r>
              <w:t>TC02</w:t>
            </w:r>
          </w:p>
        </w:tc>
        <w:tc>
          <w:tcPr>
            <w:tcW w:type="dxa" w:w="1440"/>
          </w:tcPr>
          <w:p>
            <w:r>
              <w:t>Validate Company Code field lookup and validation</w:t>
            </w:r>
          </w:p>
        </w:tc>
        <w:tc>
          <w:tcPr>
            <w:tcW w:type="dxa" w:w="1440"/>
          </w:tcPr>
          <w:p>
            <w:r>
              <w:t>Enter invalid Company Code</w:t>
            </w:r>
          </w:p>
        </w:tc>
        <w:tc>
          <w:tcPr>
            <w:tcW w:type="dxa" w:w="1440"/>
          </w:tcPr>
          <w:p>
            <w:r>
              <w:t>Error message displayed, report does not execute</w:t>
            </w:r>
          </w:p>
        </w:tc>
        <w:tc>
          <w:tcPr>
            <w:tcW w:type="dxa" w:w="1440"/>
          </w:tcPr>
          <w:p>
            <w:r/>
          </w:p>
        </w:tc>
        <w:tc>
          <w:tcPr>
            <w:tcW w:type="dxa" w:w="1440"/>
          </w:tcPr>
          <w:p>
            <w:r/>
          </w:p>
        </w:tc>
      </w:tr>
      <w:tr>
        <w:tc>
          <w:tcPr>
            <w:tcW w:type="dxa" w:w="1440"/>
          </w:tcPr>
          <w:p>
            <w:r>
              <w:t>TC03</w:t>
            </w:r>
          </w:p>
        </w:tc>
        <w:tc>
          <w:tcPr>
            <w:tcW w:type="dxa" w:w="1440"/>
          </w:tcPr>
          <w:p>
            <w:r>
              <w:t>Validate Tax Code dropdown and filtering</w:t>
            </w:r>
          </w:p>
        </w:tc>
        <w:tc>
          <w:tcPr>
            <w:tcW w:type="dxa" w:w="1440"/>
          </w:tcPr>
          <w:p>
            <w:r>
              <w:t>Enter valid Company Code, check Tax Code dropdown</w:t>
            </w:r>
          </w:p>
        </w:tc>
        <w:tc>
          <w:tcPr>
            <w:tcW w:type="dxa" w:w="1440"/>
          </w:tcPr>
          <w:p>
            <w:r>
              <w:t>Dropdown shows only relevant input/output VAT codes for selected Company Code</w:t>
            </w:r>
          </w:p>
        </w:tc>
        <w:tc>
          <w:tcPr>
            <w:tcW w:type="dxa" w:w="1440"/>
          </w:tcPr>
          <w:p>
            <w:r/>
          </w:p>
        </w:tc>
        <w:tc>
          <w:tcPr>
            <w:tcW w:type="dxa" w:w="1440"/>
          </w:tcPr>
          <w:p>
            <w:r/>
          </w:p>
        </w:tc>
      </w:tr>
      <w:tr>
        <w:tc>
          <w:tcPr>
            <w:tcW w:type="dxa" w:w="1440"/>
          </w:tcPr>
          <w:p>
            <w:r>
              <w:t>TC04</w:t>
            </w:r>
          </w:p>
        </w:tc>
        <w:tc>
          <w:tcPr>
            <w:tcW w:type="dxa" w:w="1440"/>
          </w:tcPr>
          <w:p>
            <w:r>
              <w:t>Validate Posting Periods input and validation</w:t>
            </w:r>
          </w:p>
        </w:tc>
        <w:tc>
          <w:tcPr>
            <w:tcW w:type="dxa" w:w="1440"/>
          </w:tcPr>
          <w:p>
            <w:r>
              <w:t>Enter From Period/Year &gt; To Period/Year</w:t>
            </w:r>
          </w:p>
        </w:tc>
        <w:tc>
          <w:tcPr>
            <w:tcW w:type="dxa" w:w="1440"/>
          </w:tcPr>
          <w:p>
            <w:r>
              <w:t>Error message displayed, report does not execute</w:t>
            </w:r>
          </w:p>
        </w:tc>
        <w:tc>
          <w:tcPr>
            <w:tcW w:type="dxa" w:w="1440"/>
          </w:tcPr>
          <w:p>
            <w:r/>
          </w:p>
        </w:tc>
        <w:tc>
          <w:tcPr>
            <w:tcW w:type="dxa" w:w="1440"/>
          </w:tcPr>
          <w:p>
            <w:r/>
          </w:p>
        </w:tc>
      </w:tr>
      <w:tr>
        <w:tc>
          <w:tcPr>
            <w:tcW w:type="dxa" w:w="1440"/>
          </w:tcPr>
          <w:p>
            <w:r>
              <w:t>TC05</w:t>
            </w:r>
          </w:p>
        </w:tc>
        <w:tc>
          <w:tcPr>
            <w:tcW w:type="dxa" w:w="1440"/>
          </w:tcPr>
          <w:p>
            <w:r>
              <w:t>Verify radio button and checkbox logic for report options</w:t>
            </w:r>
          </w:p>
        </w:tc>
        <w:tc>
          <w:tcPr>
            <w:tcW w:type="dxa" w:w="1440"/>
          </w:tcPr>
          <w:p>
            <w:r>
              <w:t>Select multiple summary reports via checkboxes, select Details Report via radio button</w:t>
            </w:r>
          </w:p>
        </w:tc>
        <w:tc>
          <w:tcPr>
            <w:tcW w:type="dxa" w:w="1440"/>
          </w:tcPr>
          <w:p>
            <w:r>
              <w:t>Only allowed combinations are enabled, report(s) run as per selection</w:t>
            </w:r>
          </w:p>
        </w:tc>
        <w:tc>
          <w:tcPr>
            <w:tcW w:type="dxa" w:w="1440"/>
          </w:tcPr>
          <w:p>
            <w:r/>
          </w:p>
        </w:tc>
        <w:tc>
          <w:tcPr>
            <w:tcW w:type="dxa" w:w="1440"/>
          </w:tcPr>
          <w:p>
            <w:r/>
          </w:p>
        </w:tc>
      </w:tr>
      <w:tr>
        <w:tc>
          <w:tcPr>
            <w:tcW w:type="dxa" w:w="1440"/>
          </w:tcPr>
          <w:p>
            <w:r>
              <w:t>TC06</w:t>
            </w:r>
          </w:p>
        </w:tc>
        <w:tc>
          <w:tcPr>
            <w:tcW w:type="dxa" w:w="1440"/>
          </w:tcPr>
          <w:p>
            <w:r>
              <w:t>Validate mandatory fields for Royal Mail Input Tax Accrual</w:t>
            </w:r>
          </w:p>
        </w:tc>
        <w:tc>
          <w:tcPr>
            <w:tcW w:type="dxa" w:w="1440"/>
          </w:tcPr>
          <w:p>
            <w:r>
              <w:t>Select P_ITA checkbox, leave Posting Date From/To blank</w:t>
            </w:r>
          </w:p>
        </w:tc>
        <w:tc>
          <w:tcPr>
            <w:tcW w:type="dxa" w:w="1440"/>
          </w:tcPr>
          <w:p>
            <w:r>
              <w:t>Error message displayed, report does not execute</w:t>
            </w:r>
          </w:p>
        </w:tc>
        <w:tc>
          <w:tcPr>
            <w:tcW w:type="dxa" w:w="1440"/>
          </w:tcPr>
          <w:p>
            <w:r/>
          </w:p>
        </w:tc>
        <w:tc>
          <w:tcPr>
            <w:tcW w:type="dxa" w:w="1440"/>
          </w:tcPr>
          <w:p>
            <w:r/>
          </w:p>
        </w:tc>
      </w:tr>
      <w:tr>
        <w:tc>
          <w:tcPr>
            <w:tcW w:type="dxa" w:w="1440"/>
          </w:tcPr>
          <w:p>
            <w:r>
              <w:t>TC07</w:t>
            </w:r>
          </w:p>
        </w:tc>
        <w:tc>
          <w:tcPr>
            <w:tcW w:type="dxa" w:w="1440"/>
          </w:tcPr>
          <w:p>
            <w:r>
              <w:t>Validate file download functionality</w:t>
            </w:r>
          </w:p>
        </w:tc>
        <w:tc>
          <w:tcPr>
            <w:tcW w:type="dxa" w:w="1440"/>
          </w:tcPr>
          <w:p>
            <w:r>
              <w:t>Click "Enable File to be Chosen", select file and download location, click Download File</w:t>
            </w:r>
          </w:p>
        </w:tc>
        <w:tc>
          <w:tcPr>
            <w:tcW w:type="dxa" w:w="1440"/>
          </w:tcPr>
          <w:p>
            <w:r>
              <w:t>File is downloaded to selected location, confirmation message displayed</w:t>
            </w:r>
          </w:p>
        </w:tc>
        <w:tc>
          <w:tcPr>
            <w:tcW w:type="dxa" w:w="1440"/>
          </w:tcPr>
          <w:p>
            <w:r/>
          </w:p>
        </w:tc>
        <w:tc>
          <w:tcPr>
            <w:tcW w:type="dxa" w:w="1440"/>
          </w:tcPr>
          <w:p>
            <w:r/>
          </w:p>
        </w:tc>
      </w:tr>
      <w:tr>
        <w:tc>
          <w:tcPr>
            <w:tcW w:type="dxa" w:w="1440"/>
          </w:tcPr>
          <w:p>
            <w:r>
              <w:t>TC08</w:t>
            </w:r>
          </w:p>
        </w:tc>
        <w:tc>
          <w:tcPr>
            <w:tcW w:type="dxa" w:w="1440"/>
          </w:tcPr>
          <w:p>
            <w:r>
              <w:t>Validate bypass of other mandatory fields when downloading existing file</w:t>
            </w:r>
          </w:p>
        </w:tc>
        <w:tc>
          <w:tcPr>
            <w:tcW w:type="dxa" w:w="1440"/>
          </w:tcPr>
          <w:p>
            <w:r>
              <w:t>Select "Enable File to be Chosen", do not fill Company, Periods, etc.</w:t>
            </w:r>
          </w:p>
        </w:tc>
        <w:tc>
          <w:tcPr>
            <w:tcW w:type="dxa" w:w="1440"/>
          </w:tcPr>
          <w:p>
            <w:r>
              <w:t>Only file and download location are required, no error for missing other fields</w:t>
            </w:r>
          </w:p>
        </w:tc>
        <w:tc>
          <w:tcPr>
            <w:tcW w:type="dxa" w:w="1440"/>
          </w:tcPr>
          <w:p>
            <w:r/>
          </w:p>
        </w:tc>
        <w:tc>
          <w:tcPr>
            <w:tcW w:type="dxa" w:w="1440"/>
          </w:tcPr>
          <w:p>
            <w:r/>
          </w:p>
        </w:tc>
      </w:tr>
      <w:tr>
        <w:tc>
          <w:tcPr>
            <w:tcW w:type="dxa" w:w="1440"/>
          </w:tcPr>
          <w:p>
            <w:r>
              <w:t>TC09</w:t>
            </w:r>
          </w:p>
        </w:tc>
        <w:tc>
          <w:tcPr>
            <w:tcW w:type="dxa" w:w="1440"/>
          </w:tcPr>
          <w:p>
            <w:r>
              <w:t>Validate output file format for Calendarised Report</w:t>
            </w:r>
          </w:p>
        </w:tc>
        <w:tc>
          <w:tcPr>
            <w:tcW w:type="dxa" w:w="1440"/>
          </w:tcPr>
          <w:p>
            <w:r>
              <w:t>Run report with Calendarised Report option, multiple Company Codes and periods</w:t>
            </w:r>
          </w:p>
        </w:tc>
        <w:tc>
          <w:tcPr>
            <w:tcW w:type="dxa" w:w="1440"/>
          </w:tcPr>
          <w:p>
            <w:r>
              <w:t>CSV file generated with correct columns, sorted by Company Code and Period, correct data population</w:t>
            </w:r>
          </w:p>
        </w:tc>
        <w:tc>
          <w:tcPr>
            <w:tcW w:type="dxa" w:w="1440"/>
          </w:tcPr>
          <w:p>
            <w:r/>
          </w:p>
        </w:tc>
        <w:tc>
          <w:tcPr>
            <w:tcW w:type="dxa" w:w="1440"/>
          </w:tcPr>
          <w:p>
            <w:r/>
          </w:p>
        </w:tc>
      </w:tr>
      <w:tr>
        <w:tc>
          <w:tcPr>
            <w:tcW w:type="dxa" w:w="1440"/>
          </w:tcPr>
          <w:p>
            <w:r>
              <w:t>TC10</w:t>
            </w:r>
          </w:p>
        </w:tc>
        <w:tc>
          <w:tcPr>
            <w:tcW w:type="dxa" w:w="1440"/>
          </w:tcPr>
          <w:p>
            <w:r>
              <w:t>Validate output file format for Summary Report</w:t>
            </w:r>
          </w:p>
        </w:tc>
        <w:tc>
          <w:tcPr>
            <w:tcW w:type="dxa" w:w="1440"/>
          </w:tcPr>
          <w:p>
            <w:r>
              <w:t>Run report with Summary Report option</w:t>
            </w:r>
          </w:p>
        </w:tc>
        <w:tc>
          <w:tcPr>
            <w:tcW w:type="dxa" w:w="1440"/>
          </w:tcPr>
          <w:p>
            <w:r>
              <w:t>CSV file generated with correct columns, one line per Company Code, correct data population</w:t>
            </w:r>
          </w:p>
        </w:tc>
        <w:tc>
          <w:tcPr>
            <w:tcW w:type="dxa" w:w="1440"/>
          </w:tcPr>
          <w:p>
            <w:r/>
          </w:p>
        </w:tc>
        <w:tc>
          <w:tcPr>
            <w:tcW w:type="dxa" w:w="1440"/>
          </w:tcPr>
          <w:p>
            <w:r/>
          </w:p>
        </w:tc>
      </w:tr>
      <w:tr>
        <w:tc>
          <w:tcPr>
            <w:tcW w:type="dxa" w:w="1440"/>
          </w:tcPr>
          <w:p>
            <w:r>
              <w:t>TC11</w:t>
            </w:r>
          </w:p>
        </w:tc>
        <w:tc>
          <w:tcPr>
            <w:tcW w:type="dxa" w:w="1440"/>
          </w:tcPr>
          <w:p>
            <w:r>
              <w:t>Validate output file format for Details Report</w:t>
            </w:r>
          </w:p>
        </w:tc>
        <w:tc>
          <w:tcPr>
            <w:tcW w:type="dxa" w:w="1440"/>
          </w:tcPr>
          <w:p>
            <w:r>
              <w:t>Run report with Details Report option</w:t>
            </w:r>
          </w:p>
        </w:tc>
        <w:tc>
          <w:tcPr>
            <w:tcW w:type="dxa" w:w="1440"/>
          </w:tcPr>
          <w:p>
            <w:r>
              <w:t>CSV file generated with correct columns, sorted by Company Code, Year, Period, GL Account, Profit Centre, correct data population</w:t>
            </w:r>
          </w:p>
        </w:tc>
        <w:tc>
          <w:tcPr>
            <w:tcW w:type="dxa" w:w="1440"/>
          </w:tcPr>
          <w:p>
            <w:r/>
          </w:p>
        </w:tc>
        <w:tc>
          <w:tcPr>
            <w:tcW w:type="dxa" w:w="1440"/>
          </w:tcPr>
          <w:p>
            <w:r/>
          </w:p>
        </w:tc>
      </w:tr>
      <w:tr>
        <w:tc>
          <w:tcPr>
            <w:tcW w:type="dxa" w:w="1440"/>
          </w:tcPr>
          <w:p>
            <w:r>
              <w:t>TC12</w:t>
            </w:r>
          </w:p>
        </w:tc>
        <w:tc>
          <w:tcPr>
            <w:tcW w:type="dxa" w:w="1440"/>
          </w:tcPr>
          <w:p>
            <w:r>
              <w:t>Validate output file format for Summary by VAT Code</w:t>
            </w:r>
          </w:p>
        </w:tc>
        <w:tc>
          <w:tcPr>
            <w:tcW w:type="dxa" w:w="1440"/>
          </w:tcPr>
          <w:p>
            <w:r>
              <w:t>Run report with Summary by VAT Code option</w:t>
            </w:r>
          </w:p>
        </w:tc>
        <w:tc>
          <w:tcPr>
            <w:tcW w:type="dxa" w:w="1440"/>
          </w:tcPr>
          <w:p>
            <w:r>
              <w:t>CSV file generated with correct columns, sorted by Company Code and VAT Code, correct data population</w:t>
            </w:r>
          </w:p>
        </w:tc>
        <w:tc>
          <w:tcPr>
            <w:tcW w:type="dxa" w:w="1440"/>
          </w:tcPr>
          <w:p>
            <w:r/>
          </w:p>
        </w:tc>
        <w:tc>
          <w:tcPr>
            <w:tcW w:type="dxa" w:w="1440"/>
          </w:tcPr>
          <w:p>
            <w:r/>
          </w:p>
        </w:tc>
      </w:tr>
      <w:tr>
        <w:tc>
          <w:tcPr>
            <w:tcW w:type="dxa" w:w="1440"/>
          </w:tcPr>
          <w:p>
            <w:r>
              <w:t>TC13</w:t>
            </w:r>
          </w:p>
        </w:tc>
        <w:tc>
          <w:tcPr>
            <w:tcW w:type="dxa" w:w="1440"/>
          </w:tcPr>
          <w:p>
            <w:r>
              <w:t>Validate output file format for Summary by GL Account</w:t>
            </w:r>
          </w:p>
        </w:tc>
        <w:tc>
          <w:tcPr>
            <w:tcW w:type="dxa" w:w="1440"/>
          </w:tcPr>
          <w:p>
            <w:r>
              <w:t>Run report with Summary by GL Account option</w:t>
            </w:r>
          </w:p>
        </w:tc>
        <w:tc>
          <w:tcPr>
            <w:tcW w:type="dxa" w:w="1440"/>
          </w:tcPr>
          <w:p>
            <w:r>
              <w:t>CSV file generated with correct columns, sorted by Company Code, GL Account, VAT Code, correct data population</w:t>
            </w:r>
          </w:p>
        </w:tc>
        <w:tc>
          <w:tcPr>
            <w:tcW w:type="dxa" w:w="1440"/>
          </w:tcPr>
          <w:p>
            <w:r/>
          </w:p>
        </w:tc>
        <w:tc>
          <w:tcPr>
            <w:tcW w:type="dxa" w:w="1440"/>
          </w:tcPr>
          <w:p>
            <w:r/>
          </w:p>
        </w:tc>
      </w:tr>
      <w:tr>
        <w:tc>
          <w:tcPr>
            <w:tcW w:type="dxa" w:w="1440"/>
          </w:tcPr>
          <w:p>
            <w:r>
              <w:t>TC14</w:t>
            </w:r>
          </w:p>
        </w:tc>
        <w:tc>
          <w:tcPr>
            <w:tcW w:type="dxa" w:w="1440"/>
          </w:tcPr>
          <w:p>
            <w:r>
              <w:t>Validate output file format for Summary by Profit Centre</w:t>
            </w:r>
          </w:p>
        </w:tc>
        <w:tc>
          <w:tcPr>
            <w:tcW w:type="dxa" w:w="1440"/>
          </w:tcPr>
          <w:p>
            <w:r>
              <w:t>Run report with Summary by Profit Centre option</w:t>
            </w:r>
          </w:p>
        </w:tc>
        <w:tc>
          <w:tcPr>
            <w:tcW w:type="dxa" w:w="1440"/>
          </w:tcPr>
          <w:p>
            <w:r>
              <w:t>CSV file generated with correct columns, sorted by Company Code, GL Account, Profit Centre, VAT Code, correct data population</w:t>
            </w:r>
          </w:p>
        </w:tc>
        <w:tc>
          <w:tcPr>
            <w:tcW w:type="dxa" w:w="1440"/>
          </w:tcPr>
          <w:p>
            <w:r/>
          </w:p>
        </w:tc>
        <w:tc>
          <w:tcPr>
            <w:tcW w:type="dxa" w:w="1440"/>
          </w:tcPr>
          <w:p>
            <w:r/>
          </w:p>
        </w:tc>
      </w:tr>
      <w:tr>
        <w:tc>
          <w:tcPr>
            <w:tcW w:type="dxa" w:w="1440"/>
          </w:tcPr>
          <w:p>
            <w:r>
              <w:t>TC15</w:t>
            </w:r>
          </w:p>
        </w:tc>
        <w:tc>
          <w:tcPr>
            <w:tcW w:type="dxa" w:w="1440"/>
          </w:tcPr>
          <w:p>
            <w:r>
              <w:t>Validate output file format for Royal Mail Input Tax Accruals</w:t>
            </w:r>
          </w:p>
        </w:tc>
        <w:tc>
          <w:tcPr>
            <w:tcW w:type="dxa" w:w="1440"/>
          </w:tcPr>
          <w:p>
            <w:r>
              <w:t>Run report with Royal Mail Input Tax Accrual option, valid posting date range</w:t>
            </w:r>
          </w:p>
        </w:tc>
        <w:tc>
          <w:tcPr>
            <w:tcW w:type="dxa" w:w="1440"/>
          </w:tcPr>
          <w:p>
            <w:r>
              <w:t>CSV file generated with correct columns, filtered by posting date and document date, correct data population</w:t>
            </w:r>
          </w:p>
        </w:tc>
        <w:tc>
          <w:tcPr>
            <w:tcW w:type="dxa" w:w="1440"/>
          </w:tcPr>
          <w:p>
            <w:r/>
          </w:p>
        </w:tc>
        <w:tc>
          <w:tcPr>
            <w:tcW w:type="dxa" w:w="1440"/>
          </w:tcPr>
          <w:p>
            <w:r/>
          </w:p>
        </w:tc>
      </w:tr>
      <w:tr>
        <w:tc>
          <w:tcPr>
            <w:tcW w:type="dxa" w:w="1440"/>
          </w:tcPr>
          <w:p>
            <w:r>
              <w:t>TC16</w:t>
            </w:r>
          </w:p>
        </w:tc>
        <w:tc>
          <w:tcPr>
            <w:tcW w:type="dxa" w:w="1440"/>
          </w:tcPr>
          <w:p>
            <w:r>
              <w:t>Validate currency and date formatting in output files</w:t>
            </w:r>
          </w:p>
        </w:tc>
        <w:tc>
          <w:tcPr>
            <w:tcW w:type="dxa" w:w="1440"/>
          </w:tcPr>
          <w:p>
            <w:r>
              <w:t>Run any report, check currency and date fields in CSV</w:t>
            </w:r>
          </w:p>
        </w:tc>
        <w:tc>
          <w:tcPr>
            <w:tcW w:type="dxa" w:w="1440"/>
          </w:tcPr>
          <w:p>
            <w:r>
              <w:t>Currency fields have no commas, dates in dd.mm.yyyy format</w:t>
            </w:r>
          </w:p>
        </w:tc>
        <w:tc>
          <w:tcPr>
            <w:tcW w:type="dxa" w:w="1440"/>
          </w:tcPr>
          <w:p>
            <w:r/>
          </w:p>
        </w:tc>
        <w:tc>
          <w:tcPr>
            <w:tcW w:type="dxa" w:w="1440"/>
          </w:tcPr>
          <w:p>
            <w:r/>
          </w:p>
        </w:tc>
      </w:tr>
      <w:tr>
        <w:tc>
          <w:tcPr>
            <w:tcW w:type="dxa" w:w="1440"/>
          </w:tcPr>
          <w:p>
            <w:r>
              <w:t>TC17</w:t>
            </w:r>
          </w:p>
        </w:tc>
        <w:tc>
          <w:tcPr>
            <w:tcW w:type="dxa" w:w="1440"/>
          </w:tcPr>
          <w:p>
            <w:r>
              <w:t>Validate saving and using selection variants</w:t>
            </w:r>
          </w:p>
        </w:tc>
        <w:tc>
          <w:tcPr>
            <w:tcW w:type="dxa" w:w="1440"/>
          </w:tcPr>
          <w:p>
            <w:r>
              <w:t>Save selection parameters as variant, reload and run report</w:t>
            </w:r>
          </w:p>
        </w:tc>
        <w:tc>
          <w:tcPr>
            <w:tcW w:type="dxa" w:w="1440"/>
          </w:tcPr>
          <w:p>
            <w:r>
              <w:t>Variant loads correctly, report runs with saved parameters</w:t>
            </w:r>
          </w:p>
        </w:tc>
        <w:tc>
          <w:tcPr>
            <w:tcW w:type="dxa" w:w="1440"/>
          </w:tcPr>
          <w:p>
            <w:r/>
          </w:p>
        </w:tc>
        <w:tc>
          <w:tcPr>
            <w:tcW w:type="dxa" w:w="1440"/>
          </w:tcPr>
          <w:p>
            <w:r/>
          </w:p>
        </w:tc>
      </w:tr>
      <w:tr>
        <w:tc>
          <w:tcPr>
            <w:tcW w:type="dxa" w:w="1440"/>
          </w:tcPr>
          <w:p>
            <w:r>
              <w:t>TC18</w:t>
            </w:r>
          </w:p>
        </w:tc>
        <w:tc>
          <w:tcPr>
            <w:tcW w:type="dxa" w:w="1440"/>
          </w:tcPr>
          <w:p>
            <w:r>
              <w:t>Validate authorization restrictions</w:t>
            </w:r>
          </w:p>
        </w:tc>
        <w:tc>
          <w:tcPr>
            <w:tcW w:type="dxa" w:w="1440"/>
          </w:tcPr>
          <w:p>
            <w:r>
              <w:t>User without required role attempts to run report</w:t>
            </w:r>
          </w:p>
        </w:tc>
        <w:tc>
          <w:tcPr>
            <w:tcW w:type="dxa" w:w="1440"/>
          </w:tcPr>
          <w:p>
            <w:r>
              <w:t>Access denied, appropriate error message displayed</w:t>
            </w:r>
          </w:p>
        </w:tc>
        <w:tc>
          <w:tcPr>
            <w:tcW w:type="dxa" w:w="1440"/>
          </w:tcPr>
          <w:p>
            <w:r/>
          </w:p>
        </w:tc>
        <w:tc>
          <w:tcPr>
            <w:tcW w:type="dxa" w:w="1440"/>
          </w:tcPr>
          <w:p>
            <w:r/>
          </w:p>
        </w:tc>
      </w:tr>
      <w:tr>
        <w:tc>
          <w:tcPr>
            <w:tcW w:type="dxa" w:w="1440"/>
          </w:tcPr>
          <w:p>
            <w:r>
              <w:t>TC19</w:t>
            </w:r>
          </w:p>
        </w:tc>
        <w:tc>
          <w:tcPr>
            <w:tcW w:type="dxa" w:w="1440"/>
          </w:tcPr>
          <w:p>
            <w:r>
              <w:t>Validate completion report generation</w:t>
            </w:r>
          </w:p>
        </w:tc>
        <w:tc>
          <w:tcPr>
            <w:tcW w:type="dxa" w:w="1440"/>
          </w:tcPr>
          <w:p>
            <w:r>
              <w:t>Run report in background</w:t>
            </w:r>
          </w:p>
        </w:tc>
        <w:tc>
          <w:tcPr>
            <w:tcW w:type="dxa" w:w="1440"/>
          </w:tcPr>
          <w:p>
            <w:r>
              <w:t>Completion report generated in spool with correct user, start/end time, and filenames</w:t>
            </w:r>
          </w:p>
        </w:tc>
        <w:tc>
          <w:tcPr>
            <w:tcW w:type="dxa" w:w="1440"/>
          </w:tcPr>
          <w:p>
            <w:r/>
          </w:p>
        </w:tc>
        <w:tc>
          <w:tcPr>
            <w:tcW w:type="dxa" w:w="1440"/>
          </w:tcPr>
          <w:p>
            <w:r/>
          </w:p>
        </w:tc>
      </w:tr>
      <w:tr>
        <w:tc>
          <w:tcPr>
            <w:tcW w:type="dxa" w:w="1440"/>
          </w:tcPr>
          <w:p>
            <w:r>
              <w:t>TC20</w:t>
            </w:r>
          </w:p>
        </w:tc>
        <w:tc>
          <w:tcPr>
            <w:tcW w:type="dxa" w:w="1440"/>
          </w:tcPr>
          <w:p>
            <w:r>
              <w:t>Validate handling of multiple Company Codes and periods</w:t>
            </w:r>
          </w:p>
        </w:tc>
        <w:tc>
          <w:tcPr>
            <w:tcW w:type="dxa" w:w="1440"/>
          </w:tcPr>
          <w:p>
            <w:r>
              <w:t>Run Calendarised Report for multiple Company Codes and periods</w:t>
            </w:r>
          </w:p>
        </w:tc>
        <w:tc>
          <w:tcPr>
            <w:tcW w:type="dxa" w:w="1440"/>
          </w:tcPr>
          <w:p>
            <w:r>
              <w:t>CSV contains all Company Code/Period combinations, sorted as specified</w:t>
            </w:r>
          </w:p>
        </w:tc>
        <w:tc>
          <w:tcPr>
            <w:tcW w:type="dxa" w:w="1440"/>
          </w:tcPr>
          <w:p>
            <w:r/>
          </w:p>
        </w:tc>
        <w:tc>
          <w:tcPr>
            <w:tcW w:type="dxa" w:w="1440"/>
          </w:tcPr>
          <w:p>
            <w:r/>
          </w:p>
        </w:tc>
      </w:tr>
    </w:tbl>
    <w:p>
      <w:bookmarkStart w:id="15" w:name="sec_15"/>
      <w:pPr>
        <w:pStyle w:val="Heading1"/>
      </w:pPr>
      <w:r>
        <w:t>15. Sign-Off</w:t>
      </w:r>
      <w:bookmarkEnd w:id="15"/>
    </w:p>
    <w:tbl>
      <w:tblPr>
        <w:tblStyle w:val="LightList"/>
        <w:tblW w:type="auto" w:w="0"/>
        <w:tblLook w:firstColumn="1" w:firstRow="1" w:lastColumn="0" w:lastRow="0" w:noHBand="0" w:noVBand="1" w:val="04A0"/>
      </w:tblPr>
      <w:tblGrid>
        <w:gridCol w:w="2160"/>
        <w:gridCol w:w="2160"/>
        <w:gridCol w:w="2160"/>
        <w:gridCol w:w="2160"/>
      </w:tblGrid>
      <w:tr>
        <w:tc>
          <w:tcPr>
            <w:tcW w:type="dxa" w:w="2160"/>
          </w:tcPr>
          <w:p>
            <w:r>
              <w:t>Role</w:t>
            </w:r>
          </w:p>
        </w:tc>
        <w:tc>
          <w:tcPr>
            <w:tcW w:type="dxa" w:w="2160"/>
          </w:tcPr>
          <w:p>
            <w:r>
              <w:t>Name</w:t>
            </w:r>
          </w:p>
        </w:tc>
        <w:tc>
          <w:tcPr>
            <w:tcW w:type="dxa" w:w="2160"/>
          </w:tcPr>
          <w:p>
            <w:r>
              <w:t>Signature</w:t>
            </w:r>
          </w:p>
        </w:tc>
        <w:tc>
          <w:tcPr>
            <w:tcW w:type="dxa" w:w="2160"/>
          </w:tcPr>
          <w:p>
            <w:r>
              <w:t>Date</w:t>
            </w:r>
          </w:p>
        </w:tc>
      </w:tr>
      <w:tr>
        <w:tc>
          <w:tcPr>
            <w:tcW w:type="dxa" w:w="2160"/>
          </w:tcPr>
          <w:p>
            <w:r>
              <w:t>Prepared By</w:t>
            </w:r>
          </w:p>
        </w:tc>
        <w:tc>
          <w:tcPr>
            <w:tcW w:type="dxa" w:w="2160"/>
          </w:tcPr>
          <w:p>
            <w:r>
              <w:t>RTR</w:t>
            </w:r>
          </w:p>
        </w:tc>
        <w:tc>
          <w:tcPr>
            <w:tcW w:type="dxa" w:w="2160"/>
          </w:tcPr>
          <w:p>
            <w:r/>
          </w:p>
        </w:tc>
        <w:tc>
          <w:tcPr>
            <w:tcW w:type="dxa" w:w="2160"/>
          </w:tcPr>
          <w:p>
            <w:r>
              <w:t>01.09.2025</w:t>
            </w:r>
          </w:p>
        </w:tc>
      </w:tr>
      <w:tr>
        <w:tc>
          <w:tcPr>
            <w:tcW w:type="dxa" w:w="2160"/>
          </w:tcPr>
          <w:p>
            <w:r>
              <w:t>Approved By</w:t>
            </w:r>
          </w:p>
        </w:tc>
        <w:tc>
          <w:tcPr>
            <w:tcW w:type="dxa" w:w="2160"/>
          </w:tcPr>
          <w:p>
            <w:r/>
          </w:p>
        </w:tc>
        <w:tc>
          <w:tcPr>
            <w:tcW w:type="dxa" w:w="2160"/>
          </w:tcPr>
          <w:p>
            <w:r/>
          </w:p>
        </w:tc>
        <w:tc>
          <w:tcPr>
            <w:tcW w:type="dxa" w:w="2160"/>
          </w:tcPr>
          <w:p>
            <w:r/>
          </w:p>
        </w:tc>
      </w:tr>
      <w:tr>
        <w:tc>
          <w:tcPr>
            <w:tcW w:type="dxa" w:w="2160"/>
          </w:tcPr>
          <w:p>
            <w:r>
              <w:t>Client Sign-Off</w:t>
            </w:r>
          </w:p>
        </w:tc>
        <w:tc>
          <w:tcPr>
            <w:tcW w:type="dxa" w:w="2160"/>
          </w:tcPr>
          <w:p>
            <w:r/>
          </w:p>
        </w:tc>
        <w:tc>
          <w:tcPr>
            <w:tcW w:type="dxa" w:w="2160"/>
          </w:tcPr>
          <w:p>
            <w:r/>
          </w:p>
        </w:tc>
        <w:tc>
          <w:tcPr>
            <w:tcW w:type="dxa" w:w="2160"/>
          </w:tcPr>
          <w:p>
            <w:r/>
          </w:p>
        </w:tc>
      </w:tr>
    </w:tbl>
    <w:p>
      <w:r>
        <w:br/>
        <w:t>Document generated by PWC AI-powered ABAP Func Spec Assistant.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