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Technical Specification Document</w:t>
      </w:r>
    </w:p>
    <w:p>
      <w:pPr>
        <w:pStyle w:val="Heading1"/>
      </w:pPr>
      <w:r>
        <w:t>Index</w:t>
      </w:r>
    </w:p>
    <w:p>
      <w:pPr>
        <w:tabs>
          <w:tab w:pos="8640" w:val="right" w:leader="dot"/>
        </w:tabs>
      </w:pPr>
      <w:r>
        <w:t>1. Document Information</w:t>
        <w:tab/>
      </w:r>
      <w:r>
        <w:fldChar w:fldCharType="begin"/>
        <w:instrText xml:space="preserve">PAGEREF sec_1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2. Introduction</w:t>
        <w:tab/>
      </w:r>
      <w:r>
        <w:fldChar w:fldCharType="begin"/>
        <w:instrText xml:space="preserve">PAGEREF sec_2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3. Transport Management</w:t>
        <w:tab/>
      </w:r>
      <w:r>
        <w:fldChar w:fldCharType="begin"/>
        <w:instrText xml:space="preserve">PAGEREF sec_3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4. Requirement Overview</w:t>
        <w:tab/>
      </w:r>
      <w:r>
        <w:fldChar w:fldCharType="begin"/>
        <w:instrText xml:space="preserve">PAGEREF sec_4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5. Solution Approach</w:t>
        <w:tab/>
      </w:r>
      <w:r>
        <w:fldChar w:fldCharType="begin"/>
        <w:instrText xml:space="preserve">PAGEREF sec_5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6. SAP Object Details</w:t>
        <w:tab/>
      </w:r>
      <w:r>
        <w:fldChar w:fldCharType="begin"/>
        <w:instrText xml:space="preserve">PAGEREF sec_6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7. Data Declarations &amp; SAP Tables Used</w:t>
        <w:tab/>
      </w:r>
      <w:r>
        <w:fldChar w:fldCharType="begin"/>
        <w:instrText xml:space="preserve">PAGEREF sec_7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8. User Interface Details</w:t>
        <w:tab/>
      </w:r>
      <w:r>
        <w:fldChar w:fldCharType="begin"/>
        <w:instrText xml:space="preserve">PAGEREF sec_8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9. Processing Logic</w:t>
        <w:tab/>
      </w:r>
      <w:r>
        <w:fldChar w:fldCharType="begin"/>
        <w:instrText xml:space="preserve">PAGEREF sec_9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10. Detailed Logic Block Descriptions</w:t>
        <w:tab/>
      </w:r>
      <w:r>
        <w:fldChar w:fldCharType="begin"/>
        <w:instrText xml:space="preserve">PAGEREF sec_10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11. Output Details</w:t>
        <w:tab/>
      </w:r>
      <w:r>
        <w:fldChar w:fldCharType="begin"/>
        <w:instrText xml:space="preserve">PAGEREF sec_11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12. Enhancements &amp; Modifications</w:t>
        <w:tab/>
      </w:r>
      <w:r>
        <w:fldChar w:fldCharType="begin"/>
        <w:instrText xml:space="preserve">PAGEREF sec_12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13. Flow Diagram</w:t>
        <w:tab/>
      </w:r>
      <w:r>
        <w:fldChar w:fldCharType="begin"/>
        <w:instrText xml:space="preserve">PAGEREF sec_13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14. Error Handling &amp; Logging</w:t>
        <w:tab/>
      </w:r>
      <w:r>
        <w:fldChar w:fldCharType="begin"/>
        <w:instrText xml:space="preserve">PAGEREF sec_14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15. Performance Considerations</w:t>
        <w:tab/>
      </w:r>
      <w:r>
        <w:fldChar w:fldCharType="begin"/>
        <w:instrText xml:space="preserve">PAGEREF sec_15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16. Security &amp; Authorizations</w:t>
        <w:tab/>
      </w:r>
      <w:r>
        <w:fldChar w:fldCharType="begin"/>
        <w:instrText xml:space="preserve">PAGEREF sec_16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17. Test Scenario</w:t>
        <w:tab/>
      </w:r>
      <w:r>
        <w:fldChar w:fldCharType="begin"/>
        <w:instrText xml:space="preserve">PAGEREF sec_17 \h</w:instrText>
        <w:fldChar w:fldCharType="separate"/>
        <w:t>1</w:t>
        <w:fldChar w:fldCharType="end"/>
      </w:r>
    </w:p>
    <w:p>
      <w:pPr>
        <w:tabs>
          <w:tab w:pos="8640" w:val="right" w:leader="dot"/>
        </w:tabs>
      </w:pPr>
      <w:r>
        <w:t>18. Sign-Off</w:t>
        <w:tab/>
      </w:r>
      <w:r>
        <w:fldChar w:fldCharType="begin"/>
        <w:instrText xml:space="preserve">PAGEREF sec_18 \h</w:instrText>
        <w:fldChar w:fldCharType="separate"/>
        <w:t>1</w:t>
        <w:fldChar w:fldCharType="end"/>
      </w:r>
    </w:p>
    <w:p>
      <w:bookmarkStart w:id="1" w:name="sec_1"/>
      <w:pPr>
        <w:pStyle w:val="Heading1"/>
      </w:pPr>
      <w:r>
        <w:t>1. Document Information</w:t>
      </w:r>
      <w:bookmarkEnd w:id="1"/>
    </w:p>
    <w:p>
      <w:r>
        <w:t>[ERROR: Section content missing]</w:t>
      </w:r>
    </w:p>
    <w:p>
      <w:bookmarkStart w:id="2" w:name="sec_2"/>
      <w:pPr>
        <w:pStyle w:val="Heading1"/>
      </w:pPr>
      <w:r>
        <w:t>2. Introduction</w:t>
      </w:r>
      <w:bookmarkEnd w:id="2"/>
    </w:p>
    <w:p>
      <w:r>
        <w:t>[ERROR: Section content missing]</w:t>
      </w:r>
    </w:p>
    <w:p>
      <w:bookmarkStart w:id="3" w:name="sec_3"/>
      <w:pPr>
        <w:pStyle w:val="Heading1"/>
      </w:pPr>
      <w:r>
        <w:t>3. Transport Management</w:t>
      </w:r>
      <w:bookmarkEnd w:id="3"/>
    </w:p>
    <w:p>
      <w:r>
        <w:t>[ERROR: Section content missing]</w:t>
      </w:r>
    </w:p>
    <w:p>
      <w:bookmarkStart w:id="4" w:name="sec_4"/>
      <w:pPr>
        <w:pStyle w:val="Heading1"/>
      </w:pPr>
      <w:r>
        <w:t>4. Requirement Overview</w:t>
      </w:r>
      <w:bookmarkEnd w:id="4"/>
    </w:p>
    <w:p>
      <w:r>
        <w:t>[ERROR: Section content missing]</w:t>
      </w:r>
    </w:p>
    <w:p>
      <w:bookmarkStart w:id="5" w:name="sec_5"/>
      <w:pPr>
        <w:pStyle w:val="Heading1"/>
      </w:pPr>
      <w:r>
        <w:t>5. Solution Approach</w:t>
      </w:r>
      <w:bookmarkEnd w:id="5"/>
    </w:p>
    <w:p>
      <w:r>
        <w:t>[ERROR: Section content missing]</w:t>
      </w:r>
    </w:p>
    <w:p>
      <w:bookmarkStart w:id="6" w:name="sec_6"/>
      <w:pPr>
        <w:pStyle w:val="Heading1"/>
      </w:pPr>
      <w:r>
        <w:t>6. SAP Object Details</w:t>
      </w:r>
      <w:bookmarkEnd w:id="6"/>
    </w:p>
    <w:p>
      <w:r>
        <w:t>[ERROR: Section content missing]</w:t>
      </w:r>
    </w:p>
    <w:p>
      <w:bookmarkStart w:id="7" w:name="sec_7"/>
      <w:pPr>
        <w:pStyle w:val="Heading1"/>
      </w:pPr>
      <w:r>
        <w:t>7. Data Declarations &amp; SAP Tables Used</w:t>
      </w:r>
      <w:bookmarkEnd w:id="7"/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Declaration Name</w:t>
            </w:r>
          </w:p>
        </w:tc>
        <w:tc>
          <w:tcPr>
            <w:tcW w:type="dxa" w:w="2160"/>
          </w:tcPr>
          <w:p>
            <w:r>
              <w:t>Data Type/Object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Usage Context</w:t>
            </w:r>
          </w:p>
        </w:tc>
      </w:tr>
      <w:tr>
        <w:tc>
          <w:tcPr>
            <w:tcW w:type="dxa" w:w="2160"/>
          </w:tcPr>
          <w:p>
            <w:r>
              <w:t>ikonv</w:t>
            </w:r>
          </w:p>
        </w:tc>
        <w:tc>
          <w:tcPr>
            <w:tcW w:type="dxa" w:w="2160"/>
          </w:tcPr>
          <w:p>
            <w:r>
              <w:t>Internal Table (with header line) of structure KONV</w:t>
            </w:r>
          </w:p>
        </w:tc>
        <w:tc>
          <w:tcPr>
            <w:tcW w:type="dxa" w:w="2160"/>
          </w:tcPr>
          <w:p>
            <w:r>
              <w:t>Global internal table 'ikonv' declared with structure KONV and header line.</w:t>
            </w:r>
          </w:p>
        </w:tc>
        <w:tc>
          <w:tcPr>
            <w:tcW w:type="dxa" w:w="2160"/>
          </w:tcPr>
          <w:p>
            <w:r>
              <w:t>Used to store condition records, fetched from prcd_elements table (knumv field).</w:t>
            </w:r>
          </w:p>
        </w:tc>
      </w:tr>
      <w:tr>
        <w:tc>
          <w:tcPr>
            <w:tcW w:type="dxa" w:w="2160"/>
          </w:tcPr>
          <w:p>
            <w:r>
              <w:t>ifinal</w:t>
            </w:r>
          </w:p>
        </w:tc>
        <w:tc>
          <w:tcPr>
            <w:tcW w:type="dxa" w:w="2160"/>
          </w:tcPr>
          <w:p>
            <w:r>
              <w:t>Internal Table (with header line) with fields vbeln, posnr, matnr, werks</w:t>
            </w:r>
          </w:p>
        </w:tc>
        <w:tc>
          <w:tcPr>
            <w:tcW w:type="dxa" w:w="2160"/>
          </w:tcPr>
          <w:p>
            <w:r>
              <w:t>Global internal table 'ifinal' with custom structure containing fields vbeln, posnr, matnr, werks and header line.</w:t>
            </w:r>
          </w:p>
        </w:tc>
        <w:tc>
          <w:tcPr>
            <w:tcW w:type="dxa" w:w="2160"/>
          </w:tcPr>
          <w:p>
            <w:r>
              <w:t>Used to store final processed data combining delivery and material information.</w:t>
            </w:r>
          </w:p>
        </w:tc>
      </w:tr>
      <w:tr>
        <w:tc>
          <w:tcPr>
            <w:tcW w:type="dxa" w:w="2160"/>
          </w:tcPr>
          <w:p>
            <w:r>
              <w:t>i_t001w</w:t>
            </w:r>
          </w:p>
        </w:tc>
        <w:tc>
          <w:tcPr>
            <w:tcW w:type="dxa" w:w="2160"/>
          </w:tcPr>
          <w:p>
            <w:r>
              <w:t>Internal Table (with header line) of type T001W</w:t>
            </w:r>
          </w:p>
        </w:tc>
        <w:tc>
          <w:tcPr>
            <w:tcW w:type="dxa" w:w="2160"/>
          </w:tcPr>
          <w:p>
            <w:r>
              <w:t>Global internal table 'i_t001w' of type T001W with header line.</w:t>
            </w:r>
          </w:p>
        </w:tc>
        <w:tc>
          <w:tcPr>
            <w:tcW w:type="dxa" w:w="2160"/>
          </w:tcPr>
          <w:p>
            <w:r>
              <w:t>Used to store plant data fetched from T001W table.</w:t>
            </w:r>
          </w:p>
        </w:tc>
      </w:tr>
      <w:tr>
        <w:tc>
          <w:tcPr>
            <w:tcW w:type="dxa" w:w="2160"/>
          </w:tcPr>
          <w:p>
            <w:r>
              <w:t>t001w</w:t>
            </w:r>
          </w:p>
        </w:tc>
        <w:tc>
          <w:tcPr>
            <w:tcW w:type="dxa" w:w="2160"/>
          </w:tcPr>
          <w:p>
            <w:r>
              <w:t>t001w</w:t>
            </w:r>
          </w:p>
        </w:tc>
        <w:tc>
          <w:tcPr>
            <w:tcW w:type="dxa" w:w="2160"/>
          </w:tcPr>
          <w:p>
            <w:r>
              <w:t>Table work area declaration for database table T001W.</w:t>
            </w:r>
          </w:p>
        </w:tc>
        <w:tc>
          <w:tcPr>
            <w:tcW w:type="dxa" w:w="2160"/>
          </w:tcPr>
          <w:p>
            <w:r>
              <w:t>Used as a work area for plant data.</w:t>
            </w:r>
          </w:p>
        </w:tc>
      </w:tr>
      <w:tr>
        <w:tc>
          <w:tcPr>
            <w:tcW w:type="dxa" w:w="2160"/>
          </w:tcPr>
          <w:p>
            <w:r>
              <w:t>mara</w:t>
            </w:r>
          </w:p>
        </w:tc>
        <w:tc>
          <w:tcPr>
            <w:tcW w:type="dxa" w:w="2160"/>
          </w:tcPr>
          <w:p>
            <w:r>
              <w:t>mara</w:t>
            </w:r>
          </w:p>
        </w:tc>
        <w:tc>
          <w:tcPr>
            <w:tcW w:type="dxa" w:w="2160"/>
          </w:tcPr>
          <w:p>
            <w:r>
              <w:t>Table work area declaration for database table MARA.</w:t>
            </w:r>
          </w:p>
        </w:tc>
        <w:tc>
          <w:tcPr>
            <w:tcW w:type="dxa" w:w="2160"/>
          </w:tcPr>
          <w:p>
            <w:r>
              <w:t>Used as a work area for material master data.</w:t>
            </w:r>
          </w:p>
        </w:tc>
      </w:tr>
      <w:tr>
        <w:tc>
          <w:tcPr>
            <w:tcW w:type="dxa" w:w="2160"/>
          </w:tcPr>
          <w:p>
            <w:r>
              <w:t>lips</w:t>
            </w:r>
          </w:p>
        </w:tc>
        <w:tc>
          <w:tcPr>
            <w:tcW w:type="dxa" w:w="2160"/>
          </w:tcPr>
          <w:p>
            <w:r>
              <w:t>lips</w:t>
            </w:r>
          </w:p>
        </w:tc>
        <w:tc>
          <w:tcPr>
            <w:tcW w:type="dxa" w:w="2160"/>
          </w:tcPr>
          <w:p>
            <w:r>
              <w:t>Table work area declaration for database table LIPS.</w:t>
            </w:r>
          </w:p>
        </w:tc>
        <w:tc>
          <w:tcPr>
            <w:tcW w:type="dxa" w:w="2160"/>
          </w:tcPr>
          <w:p>
            <w:r>
              <w:t>Used as a work area for delivery item data.</w:t>
            </w:r>
          </w:p>
        </w:tc>
      </w:tr>
      <w:tr>
        <w:tc>
          <w:tcPr>
            <w:tcW w:type="dxa" w:w="2160"/>
          </w:tcPr>
          <w:p>
            <w:r>
              <w:t>bseg</w:t>
            </w:r>
          </w:p>
        </w:tc>
        <w:tc>
          <w:tcPr>
            <w:tcW w:type="dxa" w:w="2160"/>
          </w:tcPr>
          <w:p>
            <w:r>
              <w:t>bseg</w:t>
            </w:r>
          </w:p>
        </w:tc>
        <w:tc>
          <w:tcPr>
            <w:tcW w:type="dxa" w:w="2160"/>
          </w:tcPr>
          <w:p>
            <w:r>
              <w:t>Table work area declaration for database table BSEG.</w:t>
            </w:r>
          </w:p>
        </w:tc>
        <w:tc>
          <w:tcPr>
            <w:tcW w:type="dxa" w:w="2160"/>
          </w:tcPr>
          <w:p>
            <w:r>
              <w:t>Used as a work area for accounting document segment data.</w:t>
            </w:r>
          </w:p>
        </w:tc>
      </w:tr>
      <w:tr>
        <w:tc>
          <w:tcPr>
            <w:tcW w:type="dxa" w:w="2160"/>
          </w:tcPr>
          <w:p>
            <w:r>
              <w:t>ilips</w:t>
            </w:r>
          </w:p>
        </w:tc>
        <w:tc>
          <w:tcPr>
            <w:tcW w:type="dxa" w:w="2160"/>
          </w:tcPr>
          <w:p>
            <w:r>
              <w:t>OCCURS 0 structure based on LIPS</w:t>
            </w:r>
          </w:p>
        </w:tc>
        <w:tc>
          <w:tcPr>
            <w:tcW w:type="dxa" w:w="2160"/>
          </w:tcPr>
          <w:p>
            <w:r>
              <w:t>Internal table with header line based on structure LIPS.</w:t>
            </w:r>
          </w:p>
        </w:tc>
        <w:tc>
          <w:tcPr>
            <w:tcW w:type="dxa" w:w="2160"/>
          </w:tcPr>
          <w:p>
            <w:r>
              <w:t>Used to store delivery item data fetched from LIPS table.</w:t>
            </w:r>
          </w:p>
        </w:tc>
      </w:tr>
      <w:tr>
        <w:tc>
          <w:tcPr>
            <w:tcW w:type="dxa" w:w="2160"/>
          </w:tcPr>
          <w:p>
            <w:r>
              <w:t>imara</w:t>
            </w:r>
          </w:p>
        </w:tc>
        <w:tc>
          <w:tcPr>
            <w:tcW w:type="dxa" w:w="2160"/>
          </w:tcPr>
          <w:p>
            <w:r>
              <w:t>OCCURS 0 structure based on MARA</w:t>
            </w:r>
          </w:p>
        </w:tc>
        <w:tc>
          <w:tcPr>
            <w:tcW w:type="dxa" w:w="2160"/>
          </w:tcPr>
          <w:p>
            <w:r>
              <w:t>Internal table with header line based on structure MARA.</w:t>
            </w:r>
          </w:p>
        </w:tc>
        <w:tc>
          <w:tcPr>
            <w:tcW w:type="dxa" w:w="2160"/>
          </w:tcPr>
          <w:p>
            <w:r>
              <w:t>Used to store material master data fetched from MARA table.</w:t>
            </w:r>
          </w:p>
        </w:tc>
      </w:tr>
      <w:tr>
        <w:tc>
          <w:tcPr>
            <w:tcW w:type="dxa" w:w="2160"/>
          </w:tcPr>
          <w:p>
            <w:r>
              <w:t>lv_product</w:t>
            </w:r>
          </w:p>
        </w:tc>
        <w:tc>
          <w:tcPr>
            <w:tcW w:type="dxa" w:w="2160"/>
          </w:tcPr>
          <w:p>
            <w:r>
              <w:t>TYPE matnr</w:t>
            </w:r>
          </w:p>
        </w:tc>
        <w:tc>
          <w:tcPr>
            <w:tcW w:type="dxa" w:w="2160"/>
          </w:tcPr>
          <w:p>
            <w:r>
              <w:t>Variable of type MATNR for storing a product number.</w:t>
            </w:r>
          </w:p>
        </w:tc>
        <w:tc>
          <w:tcPr>
            <w:tcW w:type="dxa" w:w="2160"/>
          </w:tcPr>
          <w:p>
            <w:r>
              <w:t>Used for temporary storage of material number in processing logic.</w:t>
            </w:r>
          </w:p>
        </w:tc>
      </w:tr>
      <w:tr>
        <w:tc>
          <w:tcPr>
            <w:tcW w:type="dxa" w:w="2160"/>
          </w:tcPr>
          <w:p>
            <w:r>
              <w:t>lv_salary</w:t>
            </w:r>
          </w:p>
        </w:tc>
        <w:tc>
          <w:tcPr>
            <w:tcW w:type="dxa" w:w="2160"/>
          </w:tcPr>
          <w:p>
            <w:r>
              <w:t>TYPE dmbtr</w:t>
            </w:r>
          </w:p>
        </w:tc>
        <w:tc>
          <w:tcPr>
            <w:tcW w:type="dxa" w:w="2160"/>
          </w:tcPr>
          <w:p>
            <w:r>
              <w:t>Variable of type DMBTR for storing a salary amount.</w:t>
            </w:r>
          </w:p>
        </w:tc>
        <w:tc>
          <w:tcPr>
            <w:tcW w:type="dxa" w:w="2160"/>
          </w:tcPr>
          <w:p>
            <w:r>
              <w:t>Used for temporary storage of salary/amount values, e.g., from acdoca-dmbtr.</w:t>
            </w:r>
          </w:p>
        </w:tc>
      </w:tr>
      <w:tr>
        <w:tc>
          <w:tcPr>
            <w:tcW w:type="dxa" w:w="2160"/>
          </w:tcPr>
          <w:p>
            <w:r>
              <w:t>zrcopy_sample_ecc_code_top_v1</w:t>
            </w:r>
          </w:p>
        </w:tc>
        <w:tc>
          <w:tcPr>
            <w:tcW w:type="dxa" w:w="2160"/>
          </w:tcPr>
          <w:p>
            <w:r>
              <w:t>INCLUDE zrcopy_sample_ecc_code_top_v1</w:t>
            </w:r>
          </w:p>
        </w:tc>
        <w:tc>
          <w:tcPr>
            <w:tcW w:type="dxa" w:w="2160"/>
          </w:tcPr>
          <w:p>
            <w:r>
              <w:t>Includes global declarations such as variables, types, tables, constants, ranges, field-symbols, and structures from the top include file.</w:t>
            </w:r>
          </w:p>
        </w:tc>
        <w:tc>
          <w:tcPr>
            <w:tcW w:type="dxa" w:w="2160"/>
          </w:tcPr>
          <w:p>
            <w:r>
              <w:t>Used to modularize and centralize global declarations for the program.</w:t>
            </w:r>
          </w:p>
        </w:tc>
      </w:tr>
      <w:tr>
        <w:tc>
          <w:tcPr>
            <w:tcW w:type="dxa" w:w="2160"/>
          </w:tcPr>
          <w:p>
            <w:r>
              <w:t>T001W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Plant master data table.</w:t>
            </w:r>
          </w:p>
        </w:tc>
        <w:tc>
          <w:tcPr>
            <w:tcW w:type="dxa" w:w="2160"/>
          </w:tcPr>
          <w:p>
            <w:r>
              <w:t>Read in fetch_and_check_plant subroutine and as work area/internal table.</w:t>
            </w:r>
          </w:p>
        </w:tc>
      </w:tr>
      <w:tr>
        <w:tc>
          <w:tcPr>
            <w:tcW w:type="dxa" w:w="2160"/>
          </w:tcPr>
          <w:p>
            <w:r>
              <w:t>MARA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Material master data table.</w:t>
            </w:r>
          </w:p>
        </w:tc>
        <w:tc>
          <w:tcPr>
            <w:tcW w:type="dxa" w:w="2160"/>
          </w:tcPr>
          <w:p>
            <w:r>
              <w:t>Read in fetch_material, fetch_orderby, fetch_single, fetch_marc_mard, and as work area/internal table.</w:t>
            </w:r>
          </w:p>
        </w:tc>
      </w:tr>
      <w:tr>
        <w:tc>
          <w:tcPr>
            <w:tcW w:type="dxa" w:w="2160"/>
          </w:tcPr>
          <w:p>
            <w:r>
              <w:t>LIPS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Delivery item data table.</w:t>
            </w:r>
          </w:p>
        </w:tc>
        <w:tc>
          <w:tcPr>
            <w:tcW w:type="dxa" w:w="2160"/>
          </w:tcPr>
          <w:p>
            <w:r>
              <w:t>Read in fetch_delivery_items and as work area/internal table.</w:t>
            </w:r>
          </w:p>
        </w:tc>
      </w:tr>
      <w:tr>
        <w:tc>
          <w:tcPr>
            <w:tcW w:type="dxa" w:w="2160"/>
          </w:tcPr>
          <w:p>
            <w:r>
              <w:t>BSEG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Accounting document segment table.</w:t>
            </w:r>
          </w:p>
        </w:tc>
        <w:tc>
          <w:tcPr>
            <w:tcW w:type="dxa" w:w="2160"/>
          </w:tcPr>
          <w:p>
            <w:r>
              <w:t>Used as work area.</w:t>
            </w:r>
          </w:p>
        </w:tc>
      </w:tr>
      <w:tr>
        <w:tc>
          <w:tcPr>
            <w:tcW w:type="dxa" w:w="2160"/>
          </w:tcPr>
          <w:p>
            <w:r>
              <w:t>PRCD_ELEMENTS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Pricing condition elements table.</w:t>
            </w:r>
          </w:p>
        </w:tc>
        <w:tc>
          <w:tcPr>
            <w:tcW w:type="dxa" w:w="2160"/>
          </w:tcPr>
          <w:p>
            <w:r>
              <w:t>Read in fetch_konv and fetch_dzaehk subroutines.</w:t>
            </w:r>
          </w:p>
        </w:tc>
      </w:tr>
      <w:tr>
        <w:tc>
          <w:tcPr>
            <w:tcW w:type="dxa" w:w="2160"/>
          </w:tcPr>
          <w:p>
            <w:r>
              <w:t>VBRK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Billing document header table.</w:t>
            </w:r>
          </w:p>
        </w:tc>
        <w:tc>
          <w:tcPr>
            <w:tcW w:type="dxa" w:w="2160"/>
          </w:tcPr>
          <w:p>
            <w:r>
              <w:t>Read in fetc_vbrk subroutine.</w:t>
            </w:r>
          </w:p>
        </w:tc>
      </w:tr>
      <w:tr>
        <w:tc>
          <w:tcPr>
            <w:tcW w:type="dxa" w:w="2160"/>
          </w:tcPr>
          <w:p>
            <w:r>
              <w:t>VBRP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Billing document item table.</w:t>
            </w:r>
          </w:p>
        </w:tc>
        <w:tc>
          <w:tcPr>
            <w:tcW w:type="dxa" w:w="2160"/>
          </w:tcPr>
          <w:p>
            <w:r>
              <w:t>Read in fetch_vbrp subroutine.</w:t>
            </w:r>
          </w:p>
        </w:tc>
      </w:tr>
      <w:tr>
        <w:tc>
          <w:tcPr>
            <w:tcW w:type="dxa" w:w="2160"/>
          </w:tcPr>
          <w:p>
            <w:r>
              <w:t>ACDOCA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Universal Journal Entry Line Items.</w:t>
            </w:r>
          </w:p>
        </w:tc>
        <w:tc>
          <w:tcPr>
            <w:tcW w:type="dxa" w:w="2160"/>
          </w:tcPr>
          <w:p>
            <w:r>
              <w:t>Read in fetch_bsak and populate_salary subroutines.</w:t>
            </w:r>
          </w:p>
        </w:tc>
      </w:tr>
      <w:tr>
        <w:tc>
          <w:tcPr>
            <w:tcW w:type="dxa" w:w="2160"/>
          </w:tcPr>
          <w:p>
            <w:r>
              <w:t>KNA1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General customer master data.</w:t>
            </w:r>
          </w:p>
        </w:tc>
        <w:tc>
          <w:tcPr>
            <w:tcW w:type="dxa" w:w="2160"/>
          </w:tcPr>
          <w:p>
            <w:r>
              <w:t>Read in fetch_j1m0cust subroutine.</w:t>
            </w:r>
          </w:p>
        </w:tc>
      </w:tr>
      <w:tr>
        <w:tc>
          <w:tcPr>
            <w:tcW w:type="dxa" w:w="2160"/>
          </w:tcPr>
          <w:p>
            <w:r>
              <w:t>MARC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Plant data for material.</w:t>
            </w:r>
          </w:p>
        </w:tc>
        <w:tc>
          <w:tcPr>
            <w:tcW w:type="dxa" w:w="2160"/>
          </w:tcPr>
          <w:p>
            <w:r>
              <w:t>Read in fetch_marc_stawn, fetch_marc_mard, fetch_single subroutines.</w:t>
            </w:r>
          </w:p>
        </w:tc>
      </w:tr>
      <w:tr>
        <w:tc>
          <w:tcPr>
            <w:tcW w:type="dxa" w:w="2160"/>
          </w:tcPr>
          <w:p>
            <w:r>
              <w:t>MARD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Storage location data for material.</w:t>
            </w:r>
          </w:p>
        </w:tc>
        <w:tc>
          <w:tcPr>
            <w:tcW w:type="dxa" w:w="2160"/>
          </w:tcPr>
          <w:p>
            <w:r>
              <w:t>Read in fetch_marc_mard subroutine.</w:t>
            </w:r>
          </w:p>
        </w:tc>
      </w:tr>
      <w:tr>
        <w:tc>
          <w:tcPr>
            <w:tcW w:type="dxa" w:w="2160"/>
          </w:tcPr>
          <w:p>
            <w:r>
              <w:t>VBAK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Sales document header data.</w:t>
            </w:r>
          </w:p>
        </w:tc>
        <w:tc>
          <w:tcPr>
            <w:tcW w:type="dxa" w:w="2160"/>
          </w:tcPr>
          <w:p>
            <w:r>
              <w:t>Read in fetch_vbuk subroutine.</w:t>
            </w:r>
          </w:p>
        </w:tc>
      </w:tr>
      <w:tr>
        <w:tc>
          <w:tcPr>
            <w:tcW w:type="dxa" w:w="2160"/>
          </w:tcPr>
          <w:p>
            <w:r>
              <w:t>P_BusinessPlace</w:t>
            </w:r>
          </w:p>
        </w:tc>
        <w:tc>
          <w:tcPr>
            <w:tcW w:type="dxa" w:w="2160"/>
          </w:tcPr>
          <w:p>
            <w:r>
              <w:t>SAP Table</w:t>
            </w:r>
          </w:p>
        </w:tc>
        <w:tc>
          <w:tcPr>
            <w:tcW w:type="dxa" w:w="2160"/>
          </w:tcPr>
          <w:p>
            <w:r>
              <w:t>Business place data.</w:t>
            </w:r>
          </w:p>
        </w:tc>
        <w:tc>
          <w:tcPr>
            <w:tcW w:type="dxa" w:w="2160"/>
          </w:tcPr>
          <w:p>
            <w:r>
              <w:t>Read in fetch_jbbranch subroutine.</w:t>
            </w:r>
          </w:p>
        </w:tc>
      </w:tr>
      <w:tr>
        <w:tc>
          <w:tcPr>
            <w:tcW w:type="dxa" w:w="2160"/>
          </w:tcPr>
          <w:p>
            <w:r>
              <w:t>/SAPSLL/CL_MM_CLS_SERVICE</w:t>
            </w:r>
          </w:p>
        </w:tc>
        <w:tc>
          <w:tcPr>
            <w:tcW w:type="dxa" w:w="2160"/>
          </w:tcPr>
          <w:p>
            <w:r>
              <w:t>ABAP Class (reference variable)</w:t>
            </w:r>
          </w:p>
        </w:tc>
        <w:tc>
          <w:tcPr>
            <w:tcW w:type="dxa" w:w="2160"/>
          </w:tcPr>
          <w:p>
            <w:r>
              <w:t>Commodity code classification service class.</w:t>
            </w:r>
          </w:p>
        </w:tc>
        <w:tc>
          <w:tcPr>
            <w:tcW w:type="dxa" w:w="2160"/>
          </w:tcPr>
          <w:p>
            <w:r>
              <w:t>Instantiated and used in fetch_marc_stawn subroutine.</w:t>
            </w:r>
          </w:p>
        </w:tc>
      </w:tr>
      <w:tr>
        <w:tc>
          <w:tcPr>
            <w:tcW w:type="dxa" w:w="2160"/>
          </w:tcPr>
          <w:p>
            <w:r>
              <w:t>vfprc_cond_count</w:t>
            </w:r>
          </w:p>
        </w:tc>
        <w:tc>
          <w:tcPr>
            <w:tcW w:type="dxa" w:w="2160"/>
          </w:tcPr>
          <w:p>
            <w:r>
              <w:t>Data Type</w:t>
            </w:r>
          </w:p>
        </w:tc>
        <w:tc>
          <w:tcPr>
            <w:tcW w:type="dxa" w:w="2160"/>
          </w:tcPr>
          <w:p>
            <w:r>
              <w:t>Data type for condition counter.</w:t>
            </w:r>
          </w:p>
        </w:tc>
        <w:tc>
          <w:tcPr>
            <w:tcW w:type="dxa" w:w="2160"/>
          </w:tcPr>
          <w:p>
            <w:r>
              <w:t>Used as type for lv_dzaehk in fetch_dzaehk subroutine.</w:t>
            </w:r>
          </w:p>
        </w:tc>
      </w:tr>
      <w:tr>
        <w:tc>
          <w:tcPr>
            <w:tcW w:type="dxa" w:w="2160"/>
          </w:tcPr>
          <w:p>
            <w:r>
              <w:t>Various local variables (e.g., lv_matnr, lv_matnr_sub, lv_lines, lv_lsobs, etc.)</w:t>
            </w:r>
          </w:p>
        </w:tc>
        <w:tc>
          <w:tcPr>
            <w:tcW w:type="dxa" w:w="2160"/>
          </w:tcPr>
          <w:p>
            <w:r>
              <w:t>Various types (matnr, char, integer, etc.)</w:t>
            </w:r>
          </w:p>
        </w:tc>
        <w:tc>
          <w:tcPr>
            <w:tcW w:type="dxa" w:w="2160"/>
          </w:tcPr>
          <w:p>
            <w:r>
              <w:t>Temporary variables for substring operations, counters, and data transfer.</w:t>
            </w:r>
          </w:p>
        </w:tc>
        <w:tc>
          <w:tcPr>
            <w:tcW w:type="dxa" w:w="2160"/>
          </w:tcPr>
          <w:p>
            <w:r>
              <w:t>Used in subroutines such as fetch_orderby, fetch_single, prepare_final_data, fetch_marc_mard.</w:t>
            </w:r>
          </w:p>
        </w:tc>
      </w:tr>
      <w:tr>
        <w:tc>
          <w:tcPr>
            <w:tcW w:type="dxa" w:w="2160"/>
          </w:tcPr>
          <w:p>
            <w:r>
              <w:t>ty_lips_sel</w:t>
            </w:r>
          </w:p>
        </w:tc>
        <w:tc>
          <w:tcPr>
            <w:tcW w:type="dxa" w:w="2160"/>
          </w:tcPr>
          <w:p>
            <w:r>
              <w:t>Local Structure</w:t>
            </w:r>
          </w:p>
        </w:tc>
        <w:tc>
          <w:tcPr>
            <w:tcW w:type="dxa" w:w="2160"/>
          </w:tcPr>
          <w:p>
            <w:r>
              <w:t>Structure with fields matnr, posnr, vbeln, werks.</w:t>
            </w:r>
          </w:p>
        </w:tc>
        <w:tc>
          <w:tcPr>
            <w:tcW w:type="dxa" w:w="2160"/>
          </w:tcPr>
          <w:p>
            <w:r>
              <w:t>Used in fetch_delivery_items subroutine for selecting and processing LIPS data.</w:t>
            </w:r>
          </w:p>
        </w:tc>
      </w:tr>
      <w:tr>
        <w:tc>
          <w:tcPr>
            <w:tcW w:type="dxa" w:w="2160"/>
          </w:tcPr>
          <w:p>
            <w:r>
              <w:t>lt_lips_sel, ls_lips_sel, ls_ilips</w:t>
            </w:r>
          </w:p>
        </w:tc>
        <w:tc>
          <w:tcPr>
            <w:tcW w:type="dxa" w:w="2160"/>
          </w:tcPr>
          <w:p>
            <w:r>
              <w:t>Internal table and work areas of ty_lips_sel/LIPS</w:t>
            </w:r>
          </w:p>
        </w:tc>
        <w:tc>
          <w:tcPr>
            <w:tcW w:type="dxa" w:w="2160"/>
          </w:tcPr>
          <w:p>
            <w:r>
              <w:t>Used for intermediate storage and processing of delivery item data.</w:t>
            </w:r>
          </w:p>
        </w:tc>
        <w:tc>
          <w:tcPr>
            <w:tcW w:type="dxa" w:w="2160"/>
          </w:tcPr>
          <w:p>
            <w:r>
              <w:t>Used in fetch_delivery_items subroutine.</w:t>
            </w:r>
          </w:p>
        </w:tc>
      </w:tr>
      <w:tr>
        <w:tc>
          <w:tcPr>
            <w:tcW w:type="dxa" w:w="2160"/>
          </w:tcPr>
          <w:p>
            <w:r>
              <w:t>lt_data, ls_marc, lo_cls_service, lo_cls_service_det</w:t>
            </w:r>
          </w:p>
        </w:tc>
        <w:tc>
          <w:tcPr>
            <w:tcW w:type="dxa" w:w="2160"/>
          </w:tcPr>
          <w:p>
            <w:r>
              <w:t>Various (internal tables, work areas, object references)</w:t>
            </w:r>
          </w:p>
        </w:tc>
        <w:tc>
          <w:tcPr>
            <w:tcW w:type="dxa" w:w="2160"/>
          </w:tcPr>
          <w:p>
            <w:r>
              <w:t>Used for intermediate storage and object-oriented processing.</w:t>
            </w:r>
          </w:p>
        </w:tc>
        <w:tc>
          <w:tcPr>
            <w:tcW w:type="dxa" w:w="2160"/>
          </w:tcPr>
          <w:p>
            <w:r>
              <w:t>Used in various subroutines for data retrieval and service calls.</w:t>
            </w:r>
          </w:p>
        </w:tc>
      </w:tr>
    </w:tbl>
    <w:p>
      <w:bookmarkStart w:id="8" w:name="sec_8"/>
      <w:pPr>
        <w:pStyle w:val="Heading1"/>
      </w:pPr>
      <w:r>
        <w:t>8. User Interface Details</w:t>
      </w:r>
      <w:bookmarkEnd w:id="8"/>
    </w:p>
    <w:p>
      <w:r>
        <w:t>[ERROR: Section content missing]</w:t>
      </w:r>
    </w:p>
    <w:p>
      <w:bookmarkStart w:id="9" w:name="sec_9"/>
      <w:pPr>
        <w:pStyle w:val="Heading1"/>
      </w:pPr>
      <w:r>
        <w:t>9. Processing Logic</w:t>
      </w:r>
      <w:bookmarkEnd w:id="9"/>
    </w:p>
    <w:p>
      <w:r>
        <w:t>[ERROR: Section content missing]</w:t>
      </w:r>
    </w:p>
    <w:p>
      <w:bookmarkStart w:id="10" w:name="sec_10"/>
      <w:pPr>
        <w:pStyle w:val="Heading1"/>
      </w:pPr>
      <w:r>
        <w:t>10. Detailed Logic Block Descriptions</w:t>
      </w:r>
      <w:bookmarkEnd w:id="10"/>
    </w:p>
    <w:p>
      <w:r>
        <w:t>[ERROR: Section content missing]</w:t>
      </w:r>
    </w:p>
    <w:p>
      <w:bookmarkStart w:id="11" w:name="sec_11"/>
      <w:pPr>
        <w:pStyle w:val="Heading1"/>
      </w:pPr>
      <w:r>
        <w:t>11. Output Details</w:t>
      </w:r>
      <w:bookmarkEnd w:id="11"/>
    </w:p>
    <w:p>
      <w:r>
        <w:t>[ERROR: Section content missing]</w:t>
      </w:r>
    </w:p>
    <w:p>
      <w:bookmarkStart w:id="12" w:name="sec_12"/>
      <w:pPr>
        <w:pStyle w:val="Heading1"/>
      </w:pPr>
      <w:r>
        <w:t>12. Enhancements &amp; Modifications</w:t>
      </w:r>
      <w:bookmarkEnd w:id="12"/>
    </w:p>
    <w:p>
      <w:r>
        <w:t>[ERROR: Section content missing]</w:t>
      </w:r>
    </w:p>
    <w:p>
      <w:bookmarkStart w:id="13" w:name="sec_13"/>
      <w:pPr>
        <w:pStyle w:val="Heading1"/>
      </w:pPr>
      <w:r>
        <w:t>13. Flow Diagram</w:t>
      </w:r>
      <w:bookmarkEnd w:id="13"/>
    </w:p>
    <w:p>
      <w:r>
        <w:t>[Flow diagram not available]</w:t>
      </w:r>
    </w:p>
    <w:p>
      <w:bookmarkStart w:id="14" w:name="sec_14"/>
      <w:pPr>
        <w:pStyle w:val="Heading1"/>
      </w:pPr>
      <w:r>
        <w:t>14. Error Handling &amp; Logging</w:t>
      </w:r>
      <w:bookmarkEnd w:id="14"/>
    </w:p>
    <w:p>
      <w:r>
        <w:t>[ERROR: Section content missing]</w:t>
      </w:r>
    </w:p>
    <w:p>
      <w:bookmarkStart w:id="15" w:name="sec_15"/>
      <w:pPr>
        <w:pStyle w:val="Heading1"/>
      </w:pPr>
      <w:r>
        <w:t>15. Performance Considerations</w:t>
      </w:r>
      <w:bookmarkEnd w:id="15"/>
    </w:p>
    <w:p>
      <w:r>
        <w:t>[ERROR: Section content missing]</w:t>
      </w:r>
    </w:p>
    <w:p>
      <w:bookmarkStart w:id="16" w:name="sec_16"/>
      <w:pPr>
        <w:pStyle w:val="Heading1"/>
      </w:pPr>
      <w:r>
        <w:t>16. Security &amp; Authorizations</w:t>
      </w:r>
      <w:bookmarkEnd w:id="16"/>
    </w:p>
    <w:p>
      <w:r>
        <w:t>[ERROR: Section content missing]</w:t>
      </w:r>
    </w:p>
    <w:p>
      <w:bookmarkStart w:id="17" w:name="sec_17"/>
      <w:pPr>
        <w:pStyle w:val="Heading1"/>
      </w:pPr>
      <w:r>
        <w:t>17. Test Scenario</w:t>
      </w:r>
      <w:bookmarkEnd w:id="17"/>
    </w:p>
    <w:p>
      <w:r>
        <w:t>[ERROR: Section content missing]</w:t>
      </w:r>
    </w:p>
    <w:p>
      <w:bookmarkStart w:id="18" w:name="sec_18"/>
      <w:pPr>
        <w:pStyle w:val="Heading1"/>
      </w:pPr>
      <w:r>
        <w:t>18. Sign-Off</w:t>
      </w:r>
      <w:bookmarkEnd w:id="18"/>
    </w:p>
    <w:p>
      <w:r>
        <w:t>[ERROR: Section content missing]</w:t>
      </w:r>
    </w:p>
    <w:p>
      <w:r>
        <w:br/>
        <w:t>Document generated by PWC AI-powered ABAP Tech Spec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