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Mathematical Model</w:t>
      </w:r>
    </w:p>
    <w:p>
      <w:pPr>
        <w:pStyle w:val="Subtitle"/>
      </w:pPr>
      <w:r>
        <w:t>Evidence semantics, conservative eligibility and evaluation equations</w:t>
      </w:r>
    </w:p>
    <w:p/>
    <w:tbl>
      <w:tblPr>
        <w:tblW w:type="auto" w:w="0"/>
        <w:jc w:val="left"/>
        <w:tblLayout w:type="fixed"/>
        <w:tblLook w:firstColumn="1" w:firstRow="1" w:lastColumn="0" w:lastRow="0" w:noHBand="0" w:noVBand="1" w:val="04A0"/>
      </w:tblPr>
      <w:tblGrid>
        <w:gridCol w:w="2232"/>
        <w:gridCol w:w="6984"/>
      </w:tblGrid>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Project</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PQMigrate - Post-Quantum Cryptography Migration Analysis Tool</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Document</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Mathematical Model</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Version</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1.0</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Baseline</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main at commit 74b7ba4</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Prepared</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27 September 2026</w:t>
            </w:r>
          </w:p>
        </w:tc>
      </w:tr>
    </w:tbl>
    <w:p/>
    <w:p>
      <w:pPr>
        <w:spacing w:before="160" w:after="160"/>
      </w:pPr>
      <w:r>
        <w:rPr>
          <w:b/>
        </w:rPr>
        <w:t xml:space="preserve">Review position. </w:t>
      </w:r>
      <w:r>
        <w:t>This document describes the verified D0-D11 prototype. It separates implemented evidence from planned work and preserves UNKNOWN/ABSTAIN when the available evidence is insufficient.</w:t>
      </w:r>
    </w:p>
    <w:p>
      <w:r>
        <w:br w:type="page"/>
      </w:r>
    </w:p>
    <w:p>
      <w:pPr>
        <w:pStyle w:val="Heading1"/>
      </w:pPr>
      <w:r>
        <w:t>Executive summary</w:t>
      </w:r>
    </w:p>
    <w:p>
      <w:r>
        <w:t>The model formalizes three decisions: what a source observation means, whether advice can be issued, and whether a future mutation could ever be eligible. The model deliberately uses explicit UNKNOWN values and categorical priority dimensions. It does not invent a universal risk score or treat a recommendation as proof of safety.</w:t>
      </w:r>
    </w:p>
    <w:p>
      <w:pPr>
        <w:pStyle w:val="Heading1"/>
      </w:pPr>
      <w:r>
        <w:t>1. Sets, variables and evidence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Symbol</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Meaning</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C = {f1, ..., fM}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Accepted source files in a scan.</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Total parsed Python AST nodes.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F</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Emitted findings.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D</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Traversed bounded identity/data-flow links.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R</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Versioned planning rules; R = 9 in the current registry.</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E(x)</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Evidence for observation x: source spans, resolved symbols, assignments and linked calls.</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rho(x)</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Inferred cryptographic role of observation x.</w:t>
            </w:r>
          </w:p>
        </w:tc>
      </w:tr>
    </w:tbl>
    <w:p>
      <w:pPr>
        <w:spacing w:after="20"/>
      </w:pPr>
    </w:p>
    <w:p>
      <w:r>
        <w:t>An observation x is not equivalent to a primitive name. Its meaning depends on E(x), particularly the consumer operation and object identity. This distinction prevents category errors such as mapping RSA signing to a key-encapsulation mechanism.</w:t>
      </w:r>
    </w:p>
    <w:p>
      <w:pPr>
        <w:pStyle w:val="Heading1"/>
      </w:pPr>
      <w:r>
        <w:t>2. Role inference function</w:t>
      </w:r>
    </w:p>
    <w:p>
      <w:pPr>
        <w:spacing w:before="60" w:after="100"/>
        <w:jc w:val="center"/>
      </w:pPr>
      <m:oMathPara>
        <m:oMath>
          <m:r>
            <m:t>ρ(x) = SIGNATURE, if a linked signing sink consumes the tracked key</m:t>
          </m:r>
        </m:oMath>
      </m:oMathPara>
    </w:p>
    <w:p>
      <w:pPr>
        <w:spacing w:before="60" w:after="100"/>
        <w:jc w:val="center"/>
      </w:pPr>
      <m:oMathPara>
        <m:oMath>
          <m:r>
            <m:t>ρ(x) = KEY_TRANSPORT, if RSA encryption consumes a tracked generated secret</m:t>
          </m:r>
        </m:oMath>
      </m:oMathPara>
    </w:p>
    <w:p>
      <w:pPr>
        <w:spacing w:before="60" w:after="100"/>
        <w:jc w:val="center"/>
      </w:pPr>
      <m:oMathPara>
        <m:oMath>
          <m:r>
            <m:t>ρ(x) = UNKNOWN, otherwise or when roles conflict</m:t>
          </m:r>
        </m:oMath>
      </m:oMathPara>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Predicate</w:t>
            </w:r>
          </w:p>
        </w:tc>
        <w:tc>
          <w:tcPr>
            <w:tcW w:type="dxa" w:w="698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Operational interpretation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SIGNATURE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A resolved supported signing operation consumes the exact tracked RSA key; current proof case is jwt.encode with an RS* algorithm.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KEY_TRANSPORT</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RSA encryption consumes a tracked session secret generated by os.urandom or a supported secrets call.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UNKNOWN</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Neither proof condition holds, key identity is not linked, the only evidence is an import/unused key, or supported roles conflict.</w:t>
            </w:r>
          </w:p>
        </w:tc>
      </w:tr>
    </w:tbl>
    <w:p>
      <w:pPr>
        <w:spacing w:after="20"/>
      </w:pPr>
    </w:p>
    <w:p>
      <w:r>
        <w:t>The implementation is intentionally narrower than the conceptual role taxonomy. The schema can represent signature, key establishment, key transport, encryption, authentication, hash, MAC, certificate identity and unknown, but the present bounded resolver proves only selected Python RSA cases.</w:t>
      </w:r>
    </w:p>
    <w:p>
      <w:pPr>
        <w:pStyle w:val="Heading1"/>
      </w:pPr>
      <w:r>
        <w:t>3. Three-valued patch eligibility</w:t>
      </w:r>
    </w:p>
    <w:p>
      <w:r>
        <w:t>Let each condition take one of {true, false, unknown}: K = known role, S = supported construction, I = interoperable peers and artifacts, T = trusted tests available, and O = explicit operator authorization.</w:t>
      </w:r>
    </w:p>
    <w:p>
      <w:pPr>
        <w:spacing w:before="60" w:after="100"/>
        <w:jc w:val="center"/>
      </w:pPr>
      <m:oMathPara>
        <m:oMath>
          <m:r>
            <m:t>AutoEligible(x) = K(x) ∧ S(x) ∧ I(x) ∧ T(x) ∧ O(x)</m:t>
          </m:r>
        </m:oMath>
      </m:oMathPara>
    </w:p>
    <w:p>
      <w:r>
        <w:t>The conjunction is true only when every condition is demonstrably true. Any false or unknown value refuses mutation. With five tri-state conditions there are 3^5 = 243 assignments; exactly one assignment, (true, true, true, true, true), is theoretically eligible.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Gate</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Minimum evidence</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Current state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K</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Identity-linked operation trace with no conflicting use.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Available only for bounded cases.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Approved, version-pinned construction supported by the actual provider and protocol.</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Unknown; no rewrite approved.</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I</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Enumerated consumers plus protocol negotiation and artifact compatibility evidence.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Declared isolated tests, timeout/resource controls, rescan and rollback assertions.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Unknown.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O</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Per-run authorization bound to repository, commit, diff and expiry.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r>
    </w:tbl>
    <w:p>
      <w:pPr>
        <w:spacing w:after="20"/>
      </w:pPr>
    </w:p>
    <w:p>
      <w:r>
        <w:t>D11 exhaustively verifies this gate invariant, but the invariant alone does not prove that detection, a proposed construction, a generated patch or a deployment is secure.</w:t>
      </w:r>
    </w:p>
    <w:p>
      <w:pPr>
        <w:pStyle w:val="Heading1"/>
      </w:pPr>
      <w:r>
        <w:t>4. Advisory decision model</w:t>
      </w:r>
    </w:p>
    <w:p>
      <w:pPr>
        <w:spacing w:before="60" w:after="100"/>
        <w:jc w:val="center"/>
      </w:pPr>
      <m:oMathPara>
        <m:oMath>
          <m:r>
            <m:t>δ(x) = RECOMMEND(r) if ρ(x) ≠ UNKNOWN and rule r matches; ABSTAIN otherwise</m:t>
          </m:r>
        </m:oMath>
      </m:oMathPara>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Observed role</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Conditional family</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Blocking conditions retained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RSA digital signature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ML-DSA or SLH-DSA assessment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JWT/certificate/SSH format, provider support, verifier support and key lifecycle.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RSA application key transport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ML-KEM-based KEM/DEM redesign assessment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Recipient/decrypt-side changes, data format, peer rollout and stored ciphertext.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 crypto use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ABSTAIN</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Resolve consumer, role, protocol, provider and deployment context.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SHA-256 digest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Record hashing use and security goal</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No ML-KEM replacement; determine the actual hash purpose.</w:t>
            </w:r>
          </w:p>
        </w:tc>
      </w:tr>
    </w:tbl>
    <w:p>
      <w:pPr>
        <w:spacing w:after="20"/>
      </w:pPr>
    </w:p>
    <w:p>
      <w:r>
        <w:t>A recommendation is advisory: it identifies a standards family to assess and lists prerequisites. It is not a claim that a particular algorithm parameter, provider or protocol change is ready for deployment.</w:t>
      </w:r>
    </w:p>
    <w:p>
      <w:pPr>
        <w:pStyle w:val="Heading1"/>
      </w:pPr>
      <w:r>
        <w:t>5. Priority model</w:t>
      </w:r>
    </w:p>
    <w:p>
      <w:pPr>
        <w:spacing w:before="60" w:after="100"/>
        <w:jc w:val="center"/>
      </w:pPr>
      <m:oMathPara>
        <m:oMath>
          <m:r>
            <m:t>p(x) = (Q(x), H(x), E(x), D(x), M(x))</m:t>
          </m:r>
        </m:oMath>
      </m:oMathPara>
    </w:p>
    <w:p>
      <w:r>
        <w:t>The conceptual review vector is: Q quantum vulnerability, H harvest-now-decrypt-later relevance, E external exposure, D dependency/peer reach and M migration readiness. Each dimension is high, medium, low or unknown and must carry evidence.</w:t>
      </w:r>
    </w:p>
    <w:p>
      <w:r>
        <w:t>The implemented schema exposes cryptographic urgency, evidence strength, migration effort, data exposure and overall review priority. These implementation axes support triage but do not claim a calibrated probability. Data exposure remains unknown because source scanning does not establish business sensitivity or retention.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Model property</w:t>
            </w:r>
          </w:p>
        </w:tc>
        <w:tc>
          <w:tcPr>
            <w:tcW w:type="dxa" w:w="669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Reason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Vector, not scalar</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Preserves distinct security, evidence and migration dimensions.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Categorical values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Avoids false precision such as an unsupported 89.3 risk score.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Unknown is first-class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Prevents missing business or deployment context from appearing as low risk.</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Documented ordering policy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A dashboard may sort only after the reviewer chooses a policy.</w:t>
            </w:r>
          </w:p>
        </w:tc>
      </w:tr>
    </w:tbl>
    <w:p>
      <w:pPr>
        <w:spacing w:after="20"/>
      </w:pPr>
    </w:p>
    <w:p>
      <w:pPr>
        <w:pStyle w:val="Heading1"/>
      </w:pPr>
      <w:r>
        <w:t>6. Complexity model</w:t>
      </w:r>
    </w:p>
    <w:p>
      <w:pPr>
        <w:spacing w:before="60" w:after="100"/>
        <w:jc w:val="center"/>
      </w:pPr>
      <m:oMathPara>
        <m:oMath>
          <m:r>
            <m:t>T_scan = O(M + B + N + D + P·B_go + F·R)</m:t>
          </m:r>
        </m:oMath>
      </m:oMathPara>
    </w:p>
    <w:p>
      <w:r>
        <w:t>This aggregate expression is descriptive, not a tight universal bound. Python parsing/traversal is approximately O(N); bounded inference is O(N + D) with indexed tracked variables; Go regex work is approximately O(P x B_go) for ordinary bounded patterns; planning is O(F x R); and report construction is O(F). Since R = 9, planning is effectively linear in findings for the current registry.</w:t>
      </w:r>
    </w:p>
    <w:p>
      <w:pPr>
        <w:spacing w:before="60" w:after="100"/>
        <w:jc w:val="center"/>
      </w:pPr>
      <m:oMathPara>
        <m:oMath>
          <m:r>
            <m:t>S_scan = O(N + F + D)</m:t>
          </m:r>
        </m:oMath>
      </m:oMathPara>
    </w:p>
    <w:p>
      <w:r>
        <w:t>Space reflects the current in-memory Python AST, evidence and bounded links. Real measurements must report workload identity, bytes, file count, parser failures, wall time and peak memory.</w:t>
      </w:r>
    </w:p>
    <w:p>
      <w:pPr>
        <w:pStyle w:val="Heading1"/>
      </w:pPr>
      <w:r>
        <w:t>7. Evaluation equations</w:t>
      </w:r>
    </w:p>
    <w:p>
      <w:pPr>
        <w:spacing w:before="60" w:after="100"/>
        <w:jc w:val="center"/>
      </w:pPr>
      <m:oMathPara>
        <m:oMath>
          <m:r>
            <m:t>Precision = TP/(TP + FP),   Recall = TP/(TP + FN),   F₁ = 2PR/(P + R)</m:t>
          </m:r>
        </m:oMath>
      </m:oMathPara>
    </w:p>
    <w:p>
      <w:pPr>
        <w:spacing w:before="60" w:after="100"/>
        <w:jc w:val="center"/>
      </w:pPr>
      <m:oMathPara>
        <m:oMath>
          <m:r>
            <m:t>RoleCoverage = answered/gold operations,   Accuracy_answered = correct/answered</m:t>
          </m:r>
        </m:oMath>
      </m:oMathPara>
    </w:p>
    <w:p>
      <w:r>
        <w:t>The D9 pilot contains 72 synthetic cases. Four parse failures are counted separately, leaving 68 evaluated cases. The operation confusion matrix is TP = 40, FP = 0, FN = 12, TN = 16. Therefore precision = 1.000000, recall = 0.769231 and F1 = 0.869565. Role answer coverage is 0.769231, accuracy among answered is 1.000000 and end-to-end role accuracy is 0.769231.</w:t>
      </w:r>
    </w:p>
    <w:p>
      <w:r>
        <w:t>These values characterize one single-author synthetic Python RSA pilot. They are not estimates of accuracy on real repositories, Go, the full registry, migration safety or production use.</w:t>
      </w:r>
    </w:p>
    <w:p>
      <w:pPr>
        <w:pStyle w:val="Heading1"/>
      </w:pPr>
      <w:r>
        <w:t>8. Worked reasoning cases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Case</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Evidence E(x)</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rho(x)</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delta(x)</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JWT signing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Generated RSA key is the exact key passed to jwt.encode with RS256.</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SIGNATURE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Recommend ML-DSA assessment; manual intervention.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Session-key wrapping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Generated secret is the exact plaintext passed to RSA encrypt.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KEY_TRANSPORT</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Recommend KEM/DEM redesign assessment; manual intervention.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Import only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RSA module is imported but no linked supported use exists.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ABSTAIN.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Unrelated JWT key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Generated RSA key is not the key consumed by jwt.encode.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UNKNOWN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ABSTAIN.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Conflicting uses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The same tracked key reaches supported signature and transport observations.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ABSTAIN with conflict trace.</w:t>
            </w:r>
          </w:p>
        </w:tc>
      </w:tr>
    </w:tbl>
    <w:p>
      <w:pPr>
        <w:spacing w:after="20"/>
      </w:pPr>
    </w:p>
    <w:p>
      <w:pPr>
        <w:pStyle w:val="Heading1"/>
      </w:pPr>
      <w:r>
        <w:t>References</w:t>
      </w:r>
    </w:p>
    <w:p>
      <w:pPr>
        <w:ind w:left="288" w:hanging="288"/>
      </w:pPr>
      <w:r>
        <w:rPr>
          <w:b/>
        </w:rPr>
        <w:t xml:space="preserve">[1] </w:t>
      </w:r>
      <w:r>
        <w:t>National Institute of Standards and Technology, FIPS 203, Module-Lattice-Based Key-Encapsulation Mechanism Standard, 2024.</w:t>
      </w:r>
    </w:p>
    <w:p>
      <w:pPr>
        <w:ind w:left="288" w:hanging="288"/>
      </w:pPr>
      <w:r>
        <w:rPr>
          <w:b/>
        </w:rPr>
        <w:t xml:space="preserve">[2] </w:t>
      </w:r>
      <w:r>
        <w:t>National Institute of Standards and Technology, FIPS 204, Module-Lattice-Based Digital Signature Standard, 2024.</w:t>
      </w:r>
    </w:p>
    <w:p>
      <w:pPr>
        <w:ind w:left="288" w:hanging="288"/>
      </w:pPr>
      <w:r>
        <w:rPr>
          <w:b/>
        </w:rPr>
        <w:t xml:space="preserve">[3] </w:t>
      </w:r>
      <w:r>
        <w:t>National Institute of Standards and Technology, FIPS 205, Stateless Hash-Based Digital Signature Standard, 2024.</w:t>
      </w:r>
    </w:p>
    <w:p>
      <w:pPr>
        <w:ind w:left="288" w:hanging="288"/>
      </w:pPr>
      <w:r>
        <w:rPr>
          <w:b/>
        </w:rPr>
        <w:t xml:space="preserve">[4] </w:t>
      </w:r>
      <w:r>
        <w:t>OASIS, Static Analysis Results Interchange Format Version 2.1.0.</w:t>
      </w:r>
    </w:p>
    <w:p>
      <w:pPr>
        <w:ind w:left="288" w:hanging="288"/>
      </w:pPr>
      <w:r>
        <w:rPr>
          <w:b/>
        </w:rPr>
        <w:t xml:space="preserve">[5] </w:t>
      </w:r>
      <w:r>
        <w:t>OWASP, Software Component Verification Standard and secure source-analysis guidance.</w:t>
      </w:r>
    </w:p>
    <w:p>
      <w:pPr>
        <w:ind w:left="288" w:hanging="288"/>
      </w:pPr>
      <w:r>
        <w:rPr>
          <w:b/>
        </w:rPr>
        <w:t xml:space="preserve">[6] </w:t>
      </w:r>
      <w:r>
        <w:t>PQMigrate repository documentation: review evidence, schema specification, D7-D11 milestone records, commit 74b7ba4.</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PQMigrate | Mathematical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