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Software Requirements Specification</w:t>
      </w:r>
    </w:p>
    <w:p>
      <w:pPr>
        <w:pStyle w:val="Subtitle"/>
      </w:pPr>
      <w:r>
        <w:t>PQMigrate verified prototype and controlled research roadmap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6984"/>
      </w:tblGrid>
      <w:tr>
        <w:tc>
          <w:tcPr>
            <w:tcW w:type="dxa" w:w="4997"/>
            <w:shd w:fill="F3F6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b/>
              </w:rPr>
              <w:t>Project</w:t>
            </w:r>
          </w:p>
        </w:tc>
        <w:tc>
          <w:tcPr>
            <w:tcW w:type="dxa" w:w="499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t>PQMigrate - Post-Quantum Cryptography Migration Analysis Tool</w:t>
            </w:r>
          </w:p>
        </w:tc>
      </w:tr>
      <w:tr>
        <w:tc>
          <w:tcPr>
            <w:tcW w:type="dxa" w:w="4997"/>
            <w:shd w:fill="F3F6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b/>
              </w:rPr>
              <w:t>Document</w:t>
            </w:r>
          </w:p>
        </w:tc>
        <w:tc>
          <w:tcPr>
            <w:tcW w:type="dxa" w:w="499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t>Software Requirements Specification</w:t>
            </w:r>
          </w:p>
        </w:tc>
      </w:tr>
      <w:tr>
        <w:tc>
          <w:tcPr>
            <w:tcW w:type="dxa" w:w="4997"/>
            <w:shd w:fill="F3F6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b/>
              </w:rPr>
              <w:t>Version</w:t>
            </w:r>
          </w:p>
        </w:tc>
        <w:tc>
          <w:tcPr>
            <w:tcW w:type="dxa" w:w="499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t>1.0</w:t>
            </w:r>
          </w:p>
        </w:tc>
      </w:tr>
      <w:tr>
        <w:tc>
          <w:tcPr>
            <w:tcW w:type="dxa" w:w="4997"/>
            <w:shd w:fill="F3F6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b/>
              </w:rPr>
              <w:t>Baseline</w:t>
            </w:r>
          </w:p>
        </w:tc>
        <w:tc>
          <w:tcPr>
            <w:tcW w:type="dxa" w:w="499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t>main at commit 74b7ba4</w:t>
            </w:r>
          </w:p>
        </w:tc>
      </w:tr>
      <w:tr>
        <w:tc>
          <w:tcPr>
            <w:tcW w:type="dxa" w:w="4997"/>
            <w:shd w:fill="F3F6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b/>
              </w:rPr>
              <w:t>Prepared</w:t>
            </w:r>
          </w:p>
        </w:tc>
        <w:tc>
          <w:tcPr>
            <w:tcW w:type="dxa" w:w="499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t>27 September 2026</w:t>
            </w:r>
          </w:p>
        </w:tc>
      </w:tr>
    </w:tbl>
    <w:p/>
    <w:p>
      <w:pPr>
        <w:spacing w:before="160" w:after="160"/>
      </w:pPr>
      <w:r>
        <w:rPr>
          <w:b/>
        </w:rPr>
        <w:t xml:space="preserve">Review position. </w:t>
      </w:r>
      <w:r>
        <w:t>This document describes the verified D0-D11 prototype. It separates implemented evidence from planned work and preserves UNKNOWN/ABSTAIN when the available evidence is insufficient.</w:t>
      </w:r>
    </w:p>
    <w:p>
      <w:r>
        <w:br w:type="page"/>
      </w:r>
    </w:p>
    <w:p>
      <w:pPr>
        <w:pStyle w:val="Heading1"/>
      </w:pPr>
      <w:r>
        <w:t>Document purpose</w:t>
      </w:r>
    </w:p>
    <w:p>
      <w:r>
        <w:t>This SRS defines the current PQMigrate prototype, its externally visible behavior, acceptance criteria, safety constraints and known limitations. Requirements are written against the verified D0-D11 baseline and clearly distinguish current, partial and future capabilities.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69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Product goal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Inventory cryptographic operations, preserve source evidence and provide conservative post-quantum migration advice.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7"/>
              </w:rPr>
              <w:t>Primary users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7"/>
              </w:rPr>
              <w:t>Developers, security reviewers, researchers and faculty reviewers.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Primary interface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CLI and versioned artifacts; backend/dashboard exist but browser E2E is not yet verified.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7"/>
              </w:rPr>
              <w:t>Release boundary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7"/>
              </w:rPr>
              <w:t>Advisory analysis only. No automatic source transformation is approved.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Source of truth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Pinned source commit, scanner version, rules version and report schema version.</w:t>
            </w:r>
          </w:p>
        </w:tc>
      </w:tr>
    </w:tbl>
    <w:p>
      <w:pPr>
        <w:spacing w:after="20"/>
      </w:pPr>
    </w:p>
    <w:p>
      <w:pPr>
        <w:pStyle w:val="Heading1"/>
      </w:pPr>
      <w:r>
        <w:t>1. Scope</w:t>
      </w:r>
    </w:p>
    <w:p>
      <w:pPr>
        <w:pStyle w:val="Heading2"/>
      </w:pPr>
      <w:r>
        <w:t>1.1 In scope</w:t>
      </w:r>
    </w:p>
    <w:p>
      <w:pPr>
        <w:pStyle w:val="ListBullet"/>
        <w:spacing w:after="40"/>
      </w:pPr>
      <w:r>
        <w:t>Enumerating and reading supported source files without importing or executing target code.</w:t>
      </w:r>
    </w:p>
    <w:p>
      <w:pPr>
        <w:pStyle w:val="ListBullet"/>
        <w:spacing w:after="40"/>
      </w:pPr>
      <w:r>
        <w:t>Python AST-based discovery and bounded RSA role inference for verified cases.</w:t>
      </w:r>
    </w:p>
    <w:p>
      <w:pPr>
        <w:pStyle w:val="ListBullet"/>
        <w:spacing w:after="40"/>
      </w:pPr>
      <w:r>
        <w:t>Basic Go regex detection with explicit semantic limitations.</w:t>
      </w:r>
    </w:p>
    <w:p>
      <w:pPr>
        <w:pStyle w:val="ListBullet"/>
        <w:spacing w:after="40"/>
      </w:pPr>
      <w:r>
        <w:t>Versioned JSON reports with findings, plans, traces, priorities, skips and errors.</w:t>
      </w:r>
    </w:p>
    <w:p>
      <w:pPr>
        <w:pStyle w:val="ListBullet"/>
        <w:spacing w:after="40"/>
      </w:pPr>
      <w:r>
        <w:t>Versioned YAML planning rules that remain advisory and fail closed.</w:t>
      </w:r>
    </w:p>
    <w:p>
      <w:pPr>
        <w:pStyle w:val="ListBullet"/>
        <w:spacing w:after="40"/>
      </w:pPr>
      <w:r>
        <w:t>Reproducible D9 synthetic pilot evaluation and D10 standards exports.</w:t>
      </w:r>
    </w:p>
    <w:p>
      <w:pPr>
        <w:pStyle w:val="ListBullet"/>
        <w:spacing w:after="40"/>
      </w:pPr>
      <w:r>
        <w:t>D11 exhaustive mutation gate and quarantine of legacy patch paths.</w:t>
      </w:r>
    </w:p>
    <w:p>
      <w:pPr>
        <w:pStyle w:val="Heading2"/>
      </w:pPr>
      <w:r>
        <w:t>1.2 Out of scope</w:t>
      </w:r>
    </w:p>
    <w:p>
      <w:pPr>
        <w:pStyle w:val="ListBullet"/>
        <w:spacing w:after="40"/>
      </w:pPr>
      <w:r>
        <w:t>General proof of cryptographic correctness or paper-quality accuracy.</w:t>
      </w:r>
    </w:p>
    <w:p>
      <w:pPr>
        <w:pStyle w:val="ListBullet"/>
        <w:spacing w:after="40"/>
      </w:pPr>
      <w:r>
        <w:t>Safe arbitrary-repository rewriting, automatic deployment or automatic rollback.</w:t>
      </w:r>
    </w:p>
    <w:p>
      <w:pPr>
        <w:pStyle w:val="ListBullet"/>
        <w:spacing w:after="40"/>
      </w:pPr>
      <w:r>
        <w:t>FIPS certification of PQMigrate or a claim that recommendations are production-approved.</w:t>
      </w:r>
    </w:p>
    <w:p>
      <w:pPr>
        <w:pStyle w:val="ListBullet"/>
        <w:spacing w:after="40"/>
      </w:pPr>
      <w:r>
        <w:t>Complete dependency, binary, HSM, runtime-configuration or network-protocol discovery.</w:t>
      </w:r>
    </w:p>
    <w:p>
      <w:pPr>
        <w:pStyle w:val="ListBullet"/>
        <w:spacing w:after="40"/>
      </w:pPr>
      <w:r>
        <w:t>Verified authenticated browser login-to-scan workflow and multi-user dashboard aggregates.</w:t>
      </w:r>
    </w:p>
    <w:p>
      <w:pPr>
        <w:pStyle w:val="Heading1"/>
      </w:pPr>
      <w:r>
        <w:t>2. Stakeholders and actors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type="dxa" w:w="31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6"/>
              </w:rPr>
              <w:t>Goal</w:t>
            </w:r>
          </w:p>
        </w:tc>
        <w:tc>
          <w:tcPr>
            <w:tcW w:type="dxa" w:w="410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Developer / Researcher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Scan approved source and inspect findings.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Own or have permission for input; interpret blockers and unknowns.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Security Reviewer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Evaluate evidence and migration assumptions.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Approve rules/policies and reject unsupported claims.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Faculty Reviewer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Assess research design and reproducibility.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Check commands, raw evidence, claim boundaries and evaluation protocol.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Administrator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Manage service access if remote mode is used.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Enforce owner scoping and deployment controls.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Scanner Worker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Parse source and emit versioned results.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Fail closed on fatal errors and avoid executing target source.</w:t>
            </w:r>
          </w:p>
        </w:tc>
      </w:tr>
    </w:tbl>
    <w:p>
      <w:pPr>
        <w:spacing w:after="20"/>
      </w:pPr>
    </w:p>
    <w:p>
      <w:pPr>
        <w:pStyle w:val="Heading1"/>
      </w:pPr>
      <w:r>
        <w:t>3. Operating environment and constraints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0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71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7"/>
              </w:rPr>
              <w:t>Requirement or assumption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Local reproduction</w:t>
            </w:r>
          </w:p>
        </w:tc>
        <w:tc>
          <w:tcPr>
            <w:tcW w:type="dxa" w:w="71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Kali Linux WSL checkout at /home/ratneshp0411/pqc_migration_tool.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7"/>
              </w:rPr>
              <w:t>Languages</w:t>
            </w:r>
          </w:p>
        </w:tc>
        <w:tc>
          <w:tcPr>
            <w:tcW w:type="dxa" w:w="71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7"/>
              </w:rPr>
              <w:t>Python is semantic primary; Go is basic regex detection and remains partial.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Data trust</w:t>
            </w:r>
          </w:p>
        </w:tc>
        <w:tc>
          <w:tcPr>
            <w:tcW w:type="dxa" w:w="71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Source repositories and generated reports are treated as untrusted inputs for mutation authority.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7"/>
              </w:rPr>
              <w:t>Network</w:t>
            </w:r>
          </w:p>
        </w:tc>
        <w:tc>
          <w:tcPr>
            <w:tcW w:type="dxa" w:w="71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7"/>
              </w:rPr>
              <w:t>Core CLI validation is local and reproducible; third-party SARIF/CBOM ingestion is not required.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Isolation</w:t>
            </w:r>
          </w:p>
        </w:tc>
        <w:tc>
          <w:tcPr>
            <w:tcW w:type="dxa" w:w="71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Future test/patch execution must use a disposable, bounded environment and explicit authorization.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7"/>
              </w:rPr>
              <w:t>Compatibility</w:t>
            </w:r>
          </w:p>
        </w:tc>
        <w:tc>
          <w:tcPr>
            <w:tcW w:type="dxa" w:w="71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7"/>
              </w:rPr>
              <w:t>Provider, protocol, peer and stored-artifact compatibility cannot be inferred from a primitive name.</w:t>
            </w:r>
          </w:p>
        </w:tc>
      </w:tr>
    </w:tbl>
    <w:p>
      <w:pPr>
        <w:spacing w:after="20"/>
      </w:pPr>
    </w:p>
    <w:p>
      <w:pPr>
        <w:pStyle w:val="Heading1"/>
      </w:pPr>
      <w:r>
        <w:t>4. 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893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6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893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12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FR-01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Accept a local directory, enumerate supported files deterministically, apply documented exclusions, and record skipped/unreadable inputs.</w:t>
            </w:r>
          </w:p>
        </w:tc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Must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Implemented</w:t>
            </w:r>
          </w:p>
        </w:tc>
      </w:tr>
      <w:tr>
        <w:trPr>
          <w:cantSplit/>
        </w:trPr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FR-02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Parse supported Python files with AST and emit supported API observations with source path, line and evidence type.</w:t>
            </w:r>
          </w:p>
        </w:tc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Must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Implemented</w:t>
            </w:r>
          </w:p>
        </w:tc>
      </w:tr>
      <w:tr>
        <w:trPr>
          <w:cantSplit/>
        </w:trPr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FR-03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Detect documented Go crypto patterns and disclose regex limitations, including alias-sensitive cases.</w:t>
            </w:r>
          </w:p>
        </w:tc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Must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Partial</w:t>
            </w:r>
          </w:p>
        </w:tc>
      </w:tr>
      <w:tr>
        <w:trPr>
          <w:cantSplit/>
        </w:trPr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FR-04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Record parse failures and fatal scan errors; missing/invalid worker JSON shall not become a successful zero-finding report.</w:t>
            </w:r>
          </w:p>
        </w:tc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Must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Implemented</w:t>
            </w:r>
          </w:p>
        </w:tc>
      </w:tr>
      <w:tr>
        <w:trPr>
          <w:cantSplit/>
        </w:trPr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FR-05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Infer SIGNATURE for the verified exact-key JWT pattern and KEY_TRANSPORT for the verified generated-secret RSA-encrypt pattern.</w:t>
            </w:r>
          </w:p>
        </w:tc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Must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Implemented, bounded</w:t>
            </w:r>
          </w:p>
        </w:tc>
      </w:tr>
      <w:tr>
        <w:trPr>
          <w:cantSplit/>
        </w:trPr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FR-06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Return UNKNOWN for import-only, unrelated-key, conflicting-role and unsupported-flow cases.</w:t>
            </w:r>
          </w:p>
        </w:tc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Must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Implemented</w:t>
            </w:r>
          </w:p>
        </w:tc>
      </w:tr>
      <w:tr>
        <w:trPr>
          <w:cantSplit/>
        </w:trPr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FR-07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Produce schema 2.2 JSON containing scan/scanner/rules versions, source reference, findings, plans, errors and coverage data.</w:t>
            </w:r>
          </w:p>
        </w:tc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Must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Implemented</w:t>
            </w:r>
          </w:p>
        </w:tc>
      </w:tr>
      <w:tr>
        <w:trPr>
          <w:cantSplit/>
        </w:trPr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FR-08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Match versioned role-aware YAML rules and reject duplicate IDs, unsupported roles or rules enabling automatic patches.</w:t>
            </w:r>
          </w:p>
        </w:tc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Must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Implemented</w:t>
            </w:r>
          </w:p>
        </w:tc>
      </w:tr>
      <w:tr>
        <w:trPr>
          <w:cantSplit/>
        </w:trPr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FR-09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Attach a deterministic five-stage decision trace, rule provenance, blockers, unresolved fields and multi-axis priority to plans.</w:t>
            </w:r>
          </w:p>
        </w:tc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Must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Implemented</w:t>
            </w:r>
          </w:p>
        </w:tc>
      </w:tr>
      <w:tr>
        <w:trPr>
          <w:cantSplit/>
        </w:trPr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FR-10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Keep patch_available=false and require manual intervention for current RSA advice.</w:t>
            </w:r>
          </w:p>
        </w:tc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Must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Implemented</w:t>
            </w:r>
          </w:p>
        </w:tc>
      </w:tr>
      <w:tr>
        <w:trPr>
          <w:cantSplit/>
        </w:trPr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FR-11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Export SARIF 2.1.0 and CycloneDX 1.7 CBOM and validate each against its pinned official schema.</w:t>
            </w:r>
          </w:p>
        </w:tc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Should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Implemented</w:t>
            </w:r>
          </w:p>
        </w:tc>
      </w:tr>
      <w:tr>
        <w:trPr>
          <w:cantSplit/>
        </w:trPr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FR-12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Run a reproducible labelled pilot and retain raw predictions, per-split metrics, parse failures and visible error cases.</w:t>
            </w:r>
          </w:p>
        </w:tc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Should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Implemented</w:t>
            </w:r>
          </w:p>
        </w:tc>
      </w:tr>
      <w:tr>
        <w:trPr>
          <w:cantSplit/>
        </w:trPr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FR-13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Evaluate all 243 five-gate tri-state assignments and accept only the all-true assignment as theoretically eligible.</w:t>
            </w:r>
          </w:p>
        </w:tc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Must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Implemented</w:t>
            </w:r>
          </w:p>
        </w:tc>
      </w:tr>
      <w:tr>
        <w:trPr>
          <w:cantSplit/>
        </w:trPr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FR-14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Scope scan list/detail/delete operations to the owner in remote multi-user mode.</w:t>
            </w:r>
          </w:p>
        </w:tc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Must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Backend verified</w:t>
            </w:r>
          </w:p>
        </w:tc>
      </w:tr>
      <w:tr>
        <w:trPr>
          <w:cantSplit/>
        </w:trPr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FR-15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Display authorized findings, evidence, unknowns and coverage in the dashboard.</w:t>
            </w:r>
          </w:p>
        </w:tc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Should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Browser E2E pending</w:t>
            </w:r>
          </w:p>
        </w:tc>
      </w:tr>
      <w:tr>
        <w:trPr>
          <w:cantSplit/>
        </w:trPr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FR-16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Provide preview-only AST-aware transformations only after construction-specific approval, negative tests, isolation and rollback evidence.</w:t>
            </w:r>
          </w:p>
        </w:tc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Future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Not approved</w:t>
            </w:r>
          </w:p>
        </w:tc>
      </w:tr>
    </w:tbl>
    <w:p>
      <w:pPr>
        <w:spacing w:after="20"/>
      </w:pPr>
    </w:p>
    <w:p>
      <w:pPr>
        <w:pStyle w:val="Heading1"/>
      </w:pPr>
      <w:r>
        <w:t>5. Nonfunctional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43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43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318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NFR-01 Correctness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Never map an RSA signature to ML-KEM; preserve UNKNOWN instead of inventing semantics.</w:t>
            </w:r>
          </w:p>
        </w:tc>
        <w:tc>
          <w:tcPr>
            <w:tcW w:type="dxa" w:w="31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Negative role fixtures and rule validation.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NFR-02 Traceability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Every plan shall identify source evidence, rule ID/version, blockers and unresolved fields.</w:t>
            </w:r>
          </w:p>
        </w:tc>
        <w:tc>
          <w:tcPr>
            <w:tcW w:type="dxa" w:w="31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Inspect schema 2.2 fixture output.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NFR-03 Reproducibility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Equivalent pinned input and rule versions shall produce equivalent canonical findings and trace IDs.</w:t>
            </w:r>
          </w:p>
        </w:tc>
        <w:tc>
          <w:tcPr>
            <w:tcW w:type="dxa" w:w="31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Normalize run-only fields and compare repeated scans.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NFR-04 Security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Scanning shall not execute target code or trust report claims as mutation authority.</w:t>
            </w:r>
          </w:p>
        </w:tc>
        <w:tc>
          <w:tcPr>
            <w:tcW w:type="dxa" w:w="31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Source inspection and worker failure tests.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NFR-05 Authorization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A user shall not read/delete another user's scans by guessing IDs.</w:t>
            </w:r>
          </w:p>
        </w:tc>
        <w:tc>
          <w:tcPr>
            <w:tcW w:type="dxa" w:w="31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Cross-user service tests; dashboard aggregates remain a known gap.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NFR-06 Performance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Report workload identity, file count, bytes, parser failures, time and peak memory for measured claims.</w:t>
            </w:r>
          </w:p>
        </w:tc>
        <w:tc>
          <w:tcPr>
            <w:tcW w:type="dxa" w:w="31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Pinned benchmark run; no unmeasured scale claim.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NFR-07 Usability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Confirmed operations, inventory leads, unknowns, failures and advisory plans shall be distinguishable without color alone.</w:t>
            </w:r>
          </w:p>
        </w:tc>
        <w:tc>
          <w:tcPr>
            <w:tcW w:type="dxa" w:w="31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CLI/UI review with labels and text status.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NFR-08 Maintainability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Rules and schemas shall be versioned; invalid or mutation-enabling rule entries shall fail loading.</w:t>
            </w:r>
          </w:p>
        </w:tc>
        <w:tc>
          <w:tcPr>
            <w:tcW w:type="dxa" w:w="31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Registry validation tests.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NFR-09 Portability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Core Python CLI shall run in the documented WSL environment without depending on the dashboard.</w:t>
            </w:r>
          </w:p>
        </w:tc>
        <w:tc>
          <w:tcPr>
            <w:tcW w:type="dxa" w:w="31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D0-D11 reproduction script.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NFR-10 Privacy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Remote responses should not expose full source excerpts by default; secrets shall not be sent to external services.</w:t>
            </w:r>
          </w:p>
        </w:tc>
        <w:tc>
          <w:tcPr>
            <w:tcW w:type="dxa" w:w="31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Interface review and deployment policy.</w:t>
            </w:r>
          </w:p>
        </w:tc>
      </w:tr>
    </w:tbl>
    <w:p>
      <w:pPr>
        <w:spacing w:after="20"/>
      </w:pPr>
    </w:p>
    <w:p>
      <w:pPr>
        <w:pStyle w:val="Heading1"/>
      </w:pPr>
      <w:r>
        <w:t>6. Data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6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5"/>
              </w:rPr>
              <w:t>Object</w:t>
            </w:r>
          </w:p>
        </w:tc>
        <w:tc>
          <w:tcPr>
            <w:tcW w:type="dxa" w:w="446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5"/>
              </w:rPr>
              <w:t>Required fields</w:t>
            </w:r>
          </w:p>
        </w:tc>
        <w:tc>
          <w:tcPr>
            <w:tcW w:type="dxa" w:w="329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5"/>
              </w:rPr>
              <w:t>Invariant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ProjectReport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schema_version, scan_id, scanner_version, rules_version, source reference, counts, errors, findings</w:t>
            </w:r>
          </w:p>
        </w:tc>
        <w:tc>
          <w:tcPr>
            <w:tcW w:type="dxa" w:w="32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Fatal failure cannot masquerade as a clean report.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CryptoIR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id, primitive, location, role, operation, status, confidence, detection type</w:t>
            </w:r>
          </w:p>
        </w:tc>
        <w:tc>
          <w:tcPr>
            <w:tcW w:type="dxa" w:w="32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Role and operation remain typed; ambiguous evidence remains explicit.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MigrationPlan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target family/standard, patch flag, manual intervention, rule, blockers, priority, trace</w:t>
            </w:r>
          </w:p>
        </w:tc>
        <w:tc>
          <w:tcPr>
            <w:tcW w:type="dxa" w:w="32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patch_available is false in current rules and output.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DecisionTrace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trace_id, finding_id, outcome, source_ref, five steps, unresolved fields</w:t>
            </w:r>
          </w:p>
        </w:tc>
        <w:tc>
          <w:tcPr>
            <w:tcW w:type="dxa" w:w="32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Trace identity excludes run timestamp/ID.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PatchGate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K, S, I, T, O tri-state values and blockers</w:t>
            </w:r>
          </w:p>
        </w:tc>
        <w:tc>
          <w:tcPr>
            <w:tcW w:type="dxa" w:w="32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Only all-true is eligible; report self-claims are not authoritative.</w:t>
            </w:r>
          </w:p>
        </w:tc>
      </w:tr>
    </w:tbl>
    <w:p>
      <w:pPr>
        <w:spacing w:after="20"/>
      </w:pPr>
    </w:p>
    <w:p>
      <w:pPr>
        <w:pStyle w:val="Heading1"/>
      </w:pPr>
      <w:r>
        <w:t>7. External interfaces</w:t>
      </w:r>
    </w:p>
    <w:p>
      <w:pPr>
        <w:pStyle w:val="Heading2"/>
      </w:pPr>
      <w:r>
        <w:t>7.1 Command-line interface</w:t>
      </w:r>
    </w:p>
    <w:p>
      <w:pPr>
        <w:spacing w:before="60" w:after="100"/>
        <w:ind w:left="360" w:right="216"/>
        <w:shd w:fill="F2F2F2"/>
      </w:pPr>
      <w:r>
        <w:rPr>
          <w:rFonts w:ascii="Consolas" w:hAnsi="Consolas"/>
          <w:sz w:val="16"/>
        </w:rPr>
        <w:t>cd /home/ratneshp0411/pqc_migration_tool</w:t>
        <w:br/>
        <w:t>scripts/validate_d0_d11.sh</w:t>
        <w:br/>
        <w:t>scripts/review_smoke.sh</w:t>
        <w:br/>
        <w:t># Additional module-level scan, benchmark and export commands are documented in the full guide.</w:t>
      </w:r>
    </w:p>
    <w:p>
      <w:pPr>
        <w:pStyle w:val="Heading2"/>
      </w:pPr>
      <w:r>
        <w:t>7.2 Backend and dashboard</w:t>
      </w:r>
    </w:p>
    <w:p>
      <w:r>
        <w:t>The Spring service supports owner-scoped scan list, detail and delete operations at unit/build level. The React production build passes. An authenticated browser login-to-scan flow has not been verified end to end, and current dashboard aggregate queries are not yet owner-scoped; therefore the CLI remains the primary review path.</w:t>
      </w:r>
    </w:p>
    <w:p>
      <w:pPr>
        <w:pStyle w:val="Heading2"/>
      </w:pPr>
      <w:r>
        <w:t>7.3 Export interfaces</w:t>
      </w:r>
    </w:p>
    <w:p>
      <w:r>
        <w:t>SARIF 2.1.0 carries rule, location, finding, trace, blockers and advisory state. CycloneDX 1.7 CBOM models each finding as a cryptographic asset with call-stack evidence and namespaced decision properties. Local schema validation is required before artifact creation; import behavior in a particular platform is outside the verified boundary.</w:t>
      </w:r>
    </w:p>
    <w:p>
      <w:pPr>
        <w:pStyle w:val="Heading1"/>
      </w:pPr>
      <w:r>
        <w:t>8. Acceptance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5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5"/>
              </w:rPr>
              <w:t>Input or precondition</w:t>
            </w:r>
          </w:p>
        </w:tc>
        <w:tc>
          <w:tcPr>
            <w:tcW w:type="dxa" w:w="39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5"/>
              </w:rPr>
              <w:t>Expected result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AC-01 RSA JWT signing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Exact generated RSA key reaches jwt.encode with RS256.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SIGNATURE, JWT, linked evidence, advisory ML-DSA assessment, no patch.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AC-02 Key transport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Tracked generated secret reaches RSA encrypt.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KEY_TRANSPORT, linked generation/encryption evidence, KEM/DEM redesign assessment, no patch.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AC-03 Import only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RSA import exists without linked use.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UNKNOWN and ABSTAIN.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AC-04 Unrelated key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JWT sink consumes a different key.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UNKNOWN and ABSTAIN.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AC-05 Conflict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One tracked key has conflicting supported roles.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UNKNOWN with conflict trace and ABSTAIN.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AC-06 Parse failure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Source cannot be parsed.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Failure counted separately; not treated as a true negative.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AC-07 Worker failure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Timeout, exception, missing/invalid JSON.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FAILED state; never COMPLETE with zero findings.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AC-08 Rule attack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Rule requests automatic patch or duplicates an ID.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Registry load fails.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AC-09 Patch claim attack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Crafted report claims all gates true.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5"/>
              </w:rPr>
              <w:t>Independent gate ignores self-asserted authority and refuses mutation.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AC-10 Standards exports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Create SARIF/CBOM from a valid report.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5"/>
              </w:rPr>
              <w:t>Both validate against pinned official schemas before writing.</w:t>
            </w:r>
          </w:p>
        </w:tc>
      </w:tr>
    </w:tbl>
    <w:p>
      <w:pPr>
        <w:spacing w:after="20"/>
      </w:pPr>
    </w:p>
    <w:p>
      <w:pPr>
        <w:pStyle w:val="Heading1"/>
      </w:pPr>
      <w:r>
        <w:t>9. Requirements traceability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6"/>
              </w:rPr>
              <w:t>Requirement group</w:t>
            </w:r>
          </w:p>
        </w:tc>
        <w:tc>
          <w:tcPr>
            <w:tcW w:type="dxa" w:w="43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6"/>
              </w:rPr>
              <w:t>Primary implementation/evidence</w:t>
            </w:r>
          </w:p>
        </w:tc>
        <w:tc>
          <w:tcPr>
            <w:tcW w:type="dxa" w:w="29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6"/>
              </w:rPr>
              <w:t>Current conclusion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FR-01 to FR-04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Scanner, worker-failure controls, review smoke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Implemented; Go semantics still partial.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FR-05 to FR-10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Python bounded resolver, YAML planner, schema 2.2, traces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Implemented for declared bounded cases; advisory only.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FR-11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D10 exporters and pinned schemas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Locally schema-valid; platform import pending.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FR-12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PQMigrateBench v0.1 and evaluator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Narrow single-author synthetic pilot only.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FR-13 and FR-16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D11 policy/gate tests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Gate verified; no transformation approved.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FR-14 and FR-15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Spring tests and React build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  <w:vAlign w:val="center"/>
          </w:tcPr>
          <w:p>
            <w:pPr>
              <w:spacing w:after="20"/>
            </w:pPr>
            <w:r>
              <w:rPr>
                <w:sz w:val="16"/>
              </w:rPr>
              <w:t>Service ownership tests pass; browser E2E and aggregate isolation pending.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NFR-01 to NFR-10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47 pytest, 23 legacy checks, 5 Maven tests, build and documented policies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20"/>
            </w:pPr>
            <w:r>
              <w:rPr>
                <w:sz w:val="16"/>
              </w:rPr>
              <w:t>Evidence supports prototype claims, not production assurance.</w:t>
            </w:r>
          </w:p>
        </w:tc>
      </w:tr>
    </w:tbl>
    <w:p>
      <w:pPr>
        <w:spacing w:after="20"/>
      </w:pPr>
    </w:p>
    <w:p>
      <w:pPr>
        <w:pStyle w:val="Heading1"/>
      </w:pPr>
      <w:r>
        <w:t>10. Release acceptance checklist</w:t>
      </w:r>
    </w:p>
    <w:p>
      <w:pPr>
        <w:pStyle w:val="ListBullet"/>
        <w:spacing w:after="40"/>
      </w:pPr>
      <w:r>
        <w:t>Record a clean source commit and tool versions.</w:t>
      </w:r>
    </w:p>
    <w:p>
      <w:pPr>
        <w:pStyle w:val="ListBullet"/>
        <w:spacing w:after="40"/>
      </w:pPr>
      <w:r>
        <w:t>Run scripts/validate_d0_d11.sh and retain its per-day JSON matrix.</w:t>
      </w:r>
    </w:p>
    <w:p>
      <w:pPr>
        <w:pStyle w:val="ListBullet"/>
        <w:spacing w:after="40"/>
      </w:pPr>
      <w:r>
        <w:t>Run scripts/review_smoke.sh and preserve raw outputs under review-artifacts/latest.</w:t>
      </w:r>
    </w:p>
    <w:p>
      <w:pPr>
        <w:pStyle w:val="ListBullet"/>
        <w:spacing w:after="40"/>
      </w:pPr>
      <w:r>
        <w:t>Confirm Python tests, legacy checks, Maven tests and frontend build statuses.</w:t>
      </w:r>
    </w:p>
    <w:p>
      <w:pPr>
        <w:pStyle w:val="ListBullet"/>
        <w:spacing w:after="40"/>
      </w:pPr>
      <w:r>
        <w:t>Show the three controlled fixtures and one negative/unknown case.</w:t>
      </w:r>
    </w:p>
    <w:p>
      <w:pPr>
        <w:pStyle w:val="ListBullet"/>
        <w:spacing w:after="40"/>
      </w:pPr>
      <w:r>
        <w:t>Confirm every plan is advisory and patch_available is false.</w:t>
      </w:r>
    </w:p>
    <w:p>
      <w:pPr>
        <w:pStyle w:val="ListBullet"/>
        <w:spacing w:after="40"/>
      </w:pPr>
      <w:r>
        <w:t>State D4 Go analysis as partial and D9 metrics as synthetic-pilot-only.</w:t>
      </w:r>
    </w:p>
    <w:p>
      <w:pPr>
        <w:pStyle w:val="ListBullet"/>
        <w:spacing w:after="40"/>
      </w:pPr>
      <w:r>
        <w:t>Do not claim authenticated browser E2E, third-party import or safe automatic migration without separate evidence.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ind w:left="288" w:hanging="288"/>
      </w:pPr>
      <w:r>
        <w:rPr>
          <w:b/>
        </w:rPr>
        <w:t xml:space="preserve">[1] </w:t>
      </w:r>
      <w:r>
        <w:t>National Institute of Standards and Technology, FIPS 203, Module-Lattice-Based Key-Encapsulation Mechanism Standard, 2024.</w:t>
      </w:r>
    </w:p>
    <w:p>
      <w:pPr>
        <w:ind w:left="288" w:hanging="288"/>
      </w:pPr>
      <w:r>
        <w:rPr>
          <w:b/>
        </w:rPr>
        <w:t xml:space="preserve">[2] </w:t>
      </w:r>
      <w:r>
        <w:t>National Institute of Standards and Technology, FIPS 204, Module-Lattice-Based Digital Signature Standard, 2024.</w:t>
      </w:r>
    </w:p>
    <w:p>
      <w:pPr>
        <w:ind w:left="288" w:hanging="288"/>
      </w:pPr>
      <w:r>
        <w:rPr>
          <w:b/>
        </w:rPr>
        <w:t xml:space="preserve">[3] </w:t>
      </w:r>
      <w:r>
        <w:t>National Institute of Standards and Technology, FIPS 205, Stateless Hash-Based Digital Signature Standard, 2024.</w:t>
      </w:r>
    </w:p>
    <w:p>
      <w:pPr>
        <w:ind w:left="288" w:hanging="288"/>
      </w:pPr>
      <w:r>
        <w:rPr>
          <w:b/>
        </w:rPr>
        <w:t xml:space="preserve">[4] </w:t>
      </w:r>
      <w:r>
        <w:t>OASIS, Static Analysis Results Interchange Format Version 2.1.0.</w:t>
      </w:r>
    </w:p>
    <w:p>
      <w:pPr>
        <w:ind w:left="288" w:hanging="288"/>
      </w:pPr>
      <w:r>
        <w:rPr>
          <w:b/>
        </w:rPr>
        <w:t xml:space="preserve">[5] </w:t>
      </w:r>
      <w:r>
        <w:t>OWASP, Software Component Verification Standard and secure source-analysis guidance.</w:t>
      </w:r>
    </w:p>
    <w:p>
      <w:pPr>
        <w:ind w:left="288" w:hanging="288"/>
      </w:pPr>
      <w:r>
        <w:rPr>
          <w:b/>
        </w:rPr>
        <w:t xml:space="preserve">[6] </w:t>
      </w:r>
      <w:r>
        <w:t>PQMigrate repository documentation: review evidence, schema specification, D7-D11 milestone records, commit 74b7ba4.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PQMigrate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