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UML and Data Flow Design</w:t>
      </w:r>
    </w:p>
    <w:p>
      <w:pPr>
        <w:pStyle w:val="Subtitle"/>
      </w:pPr>
      <w:r>
        <w:t>Architecture, interactions, state and trust boundaries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Project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PQMigrate - Post-Quantum Cryptography Migration Analysis Tool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Document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UML and Data Flow Design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Version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1.0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Baseline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main at commit 74b7ba4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Prepared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27 September 2026</w:t>
            </w:r>
          </w:p>
        </w:tc>
      </w:tr>
    </w:tbl>
    <w:p/>
    <w:p>
      <w:pPr>
        <w:spacing w:before="160" w:after="160"/>
      </w:pPr>
      <w:r>
        <w:rPr>
          <w:b/>
        </w:rPr>
        <w:t xml:space="preserve">Review position. </w:t>
      </w:r>
      <w:r>
        <w:t>This document describes the verified D0-D11 prototype. It separates implemented evidence from planned work and preserves UNKNOWN/ABSTAIN when the available evidence is insufficient.</w:t>
      </w:r>
    </w:p>
    <w:p>
      <w:r>
        <w:br w:type="page"/>
      </w:r>
    </w:p>
    <w:p>
      <w:pPr>
        <w:pStyle w:val="Heading1"/>
      </w:pPr>
      <w:r>
        <w:t>Design overview</w:t>
      </w:r>
    </w:p>
    <w:p>
      <w:r>
        <w:t>The diagrams describe the verified analysis architecture and explicitly separate observations, advisory plans and mutation eligibility. The Python scanner is the semantic source of truth; the Spring service orchestrates jobs, ownership and storage; the React interface presents evidence when used. Current review evidence is CLI-primary.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Notation</w:t>
            </w:r>
          </w:p>
        </w:tc>
        <w:tc>
          <w:tcPr>
            <w:tcW w:type="dxa" w:w="66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Solid process/entity boxes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Implemented or represented in the current design.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UNKNOWN / ABSTAIN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A deliberate analysis result, not an error or a low-confidence patch.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Report store or JSON file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Local artifact in CLI mode; persisted record when backend mode is used.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PatchGate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Independent future-mutation boundary; current reports cannot make it pass.</w:t>
            </w:r>
          </w:p>
        </w:tc>
      </w:tr>
    </w:tbl>
    <w:p>
      <w:pPr>
        <w:spacing w:after="20"/>
      </w:pPr>
    </w:p>
    <w:p>
      <w:pPr>
        <w:pStyle w:val="Heading1"/>
      </w:pPr>
      <w:r>
        <w:t>1. System context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41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sz w:val="18"/>
        </w:rPr>
        <w:t>Figure 1. DFD Level 0 - PQMigrate context and trust boundary</w:t>
      </w:r>
    </w:p>
    <w:p>
      <w:r>
        <w:t>The developer supplies a scan request and receives findings, evidence, coverage and advisory plans. The source repository is a separate external entity because it is untrusted input. The scanner reads accepted source files without executing the target project. A future verification runner belongs behind a separate controlled boundary.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Level-0 flow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Developer to PQMigrate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Approved path/reference, options and identity when remote mode is used.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Repository to PQMigrate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Source snapshot and metadata.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PQMigrate to Developer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Versioned findings, errors/skips, evidence, decisions and standards exports.</w:t>
            </w:r>
          </w:p>
        </w:tc>
      </w:tr>
    </w:tbl>
    <w:p>
      <w:pPr>
        <w:spacing w:after="20"/>
      </w:pPr>
    </w:p>
    <w:p>
      <w:pPr>
        <w:pStyle w:val="Heading1"/>
      </w:pPr>
      <w:r>
        <w:t>2. Level-1 data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73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sz w:val="18"/>
        </w:rPr>
        <w:t>Figure 2. DFD Level 1 - analysis decomposition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Process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P1 Acquire and enumerate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Request and source snapshot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Accepted files, exclusions and read errors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P2 Parse and discover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Accepted files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Candidates, inventory leads and source spans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Python implemented; Go partial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P3 Infer role/context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Candidates and bounded identity links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Role plus evidence or UNKNOWN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 for declared Python RSA cases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P4 Plan or abstain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Role, context and D1 rules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Advisory plan/ABSTAIN, trace and priority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Implemented; patch disabled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D1 Rule registry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YAML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Typed advisory rules and validation status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Nine rules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D2 Report store / JSON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report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 output and exports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CLI verified; backend unit-level</w:t>
            </w:r>
          </w:p>
        </w:tc>
      </w:tr>
    </w:tbl>
    <w:p>
      <w:pPr>
        <w:spacing w:after="20"/>
      </w:pPr>
    </w:p>
    <w:p>
      <w:r>
        <w:t>Balancing check: the level-0 request and source inputs reappear in P1; the findings/report output reappears as the authorized D2-to-developer flow. D1 and D2 are internal stores, not external actors.</w:t>
      </w:r>
    </w:p>
    <w:p>
      <w:pPr>
        <w:pStyle w:val="Heading1"/>
      </w:pPr>
      <w:r>
        <w:t>3. UML class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51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sz w:val="18"/>
        </w:rPr>
        <w:t>Figure 3. Core domain classes and associations</w:t>
      </w:r>
    </w:p>
    <w:p>
      <w:pPr>
        <w:pStyle w:val="Heading2"/>
      </w:pPr>
      <w:r>
        <w:t>3.1 Class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Important invariant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ProjectReport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Run-level schema, versions, counts, errors and records.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A fatal scan failure cannot be represented as a clean completed report.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AssuranceRecord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Wraps one finding and optional plan plus verification flags.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Verification flags do not grant mutation authority.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CryptoIR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Typed source observation with location, role, operation, context and confidence.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Ambiguous evidence remains UNKNOWN.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MigrationPlan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Conditional family, blockers, priority and decision trace.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patchAvailable is false in current output.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DecisionTrace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Deterministic explanation from detection through decision.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Five ordered stages and unresolved fields are preserved.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PatchGate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Independent tri-state eligibility assessment.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Only K=S=I=T=O=true is eligible; current reports fail closed.</w:t>
            </w:r>
          </w:p>
        </w:tc>
      </w:tr>
    </w:tbl>
    <w:p>
      <w:pPr>
        <w:spacing w:after="20"/>
      </w:pPr>
    </w:p>
    <w:p>
      <w:r>
        <w:t>The most important separation is between CryptoIR and MigrationPlan: a finding records what was observed; a plan records conditional advice. PatchGate remains separate from both, so a report cannot approve its own mutation.</w:t>
      </w:r>
    </w:p>
    <w:p>
      <w:pPr>
        <w:pStyle w:val="Heading1"/>
      </w:pPr>
      <w:r>
        <w:t>4. UML sequence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51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sz w:val="18"/>
        </w:rPr>
        <w:t>Figure 4. Current CLI-oriented scan sequence</w:t>
      </w:r>
    </w:p>
    <w:p>
      <w:pPr>
        <w:pStyle w:val="ListNumber"/>
        <w:spacing w:after="40"/>
      </w:pPr>
      <w:r>
        <w:t>The developer starts a scan of an approved source tree.</w:t>
      </w:r>
    </w:p>
    <w:p>
      <w:pPr>
        <w:pStyle w:val="ListNumber"/>
        <w:spacing w:after="40"/>
      </w:pPr>
      <w:r>
        <w:t>The CLI or API invokes the scanner, which enumerates and parses without executing target source.</w:t>
      </w:r>
    </w:p>
    <w:p>
      <w:pPr>
        <w:pStyle w:val="ListNumber"/>
        <w:spacing w:after="40"/>
      </w:pPr>
      <w:r>
        <w:t>The scanner supplies findings and source spans to the bounded resolver.</w:t>
      </w:r>
    </w:p>
    <w:p>
      <w:pPr>
        <w:pStyle w:val="ListNumber"/>
        <w:spacing w:after="40"/>
      </w:pPr>
      <w:r>
        <w:t>The resolver returns role/context evidence or UNKNOWN.</w:t>
      </w:r>
    </w:p>
    <w:p>
      <w:pPr>
        <w:pStyle w:val="ListNumber"/>
        <w:spacing w:after="40"/>
      </w:pPr>
      <w:r>
        <w:t>The planner matches a versioned advisory rule or abstains and attaches a decision trace.</w:t>
      </w:r>
    </w:p>
    <w:p>
      <w:pPr>
        <w:pStyle w:val="ListNumber"/>
        <w:spacing w:after="40"/>
      </w:pPr>
      <w:r>
        <w:t>The report layer emits schema 2.2 JSON and optional SARIF/CBOM artifacts.</w:t>
      </w:r>
    </w:p>
    <w:p>
      <w:pPr>
        <w:pStyle w:val="ListNumber"/>
        <w:spacing w:after="40"/>
      </w:pPr>
      <w:r>
        <w:t>The developer receives the result and a policy-relevant exit status.</w:t>
      </w:r>
    </w:p>
    <w:p>
      <w:r>
        <w:t>In backend mode, the API stores the report under the owning user and returns a scan identifier. The authenticated browser flow has not been verified end to end, so it is not the primary review sequence.</w:t>
      </w:r>
    </w:p>
    <w:p>
      <w:pPr>
        <w:pStyle w:val="Heading1"/>
      </w:pPr>
      <w:r>
        <w:t>5. UML state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139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sz w:val="18"/>
        </w:rPr>
        <w:t>Figure 5. Scan lifecycle and fail-closed transition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9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Entry condition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 accepted but worker not yet producing results.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 starts, request is cancelled, or orchestration fails.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Scanning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 is processing the source snapshot.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 JSON with accepted exit semantics, or timeout/exception/invalid output.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 exits 0 or 1 and a valid report exists.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Terminal for the current scan record.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Timeout, exception, missing output or invalid JSON.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Terminal; never interpreted as zero findings.</w:t>
            </w:r>
          </w:p>
        </w:tc>
      </w:tr>
    </w:tbl>
    <w:p>
      <w:pPr>
        <w:spacing w:after="20"/>
      </w:pPr>
    </w:p>
    <w:p>
      <w:pPr>
        <w:pStyle w:val="Heading1"/>
      </w:pPr>
      <w:r>
        <w:t>6. Deployment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Technology / role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Scanner and planner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Python modules, AST resolver, YAML rules, schema/export logic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Semantic source of truth; local CLI path is verified.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Orchestrator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Spring service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Job lifecycle, owner-scoped records and worker-output validation.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React dashboard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Displays evidence and plans; production build passes, browser E2E pending.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Artifact interfaces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JSON schema 2.2, SARIF 2.1.0, CycloneDX 1.7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Versioned interchange; local schema validation verified.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Future verification sandbox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Disposable worktree/container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Not an approved mutation path in D11.</w:t>
            </w:r>
          </w:p>
        </w:tc>
      </w:tr>
    </w:tbl>
    <w:p>
      <w:pPr>
        <w:spacing w:after="20"/>
      </w:pPr>
    </w:p>
    <w:p>
      <w:r>
        <w:t>Duplicating cryptographic decision rules in Java and Python would risk conflicting outputs. The design keeps crypto semantics and rule evaluation in Python; Java orchestrates and stores, while React presents the versioned result.</w:t>
      </w:r>
    </w:p>
    <w:p>
      <w:pPr>
        <w:pStyle w:val="Heading1"/>
      </w:pPr>
      <w:r>
        <w:t>7. Trust boundaries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Boundary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Threat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Control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Repository to scanner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Malicious or malformed source.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Read-only analysis, no target import/execution, parse-error ledger and bounded processing.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Worker to backend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Missing, truncated or crafted output.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 JSON required; timeout/exception/invalid output produces FAILED.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Report to patch policy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Self-asserted patch eligibility.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Independent D11 gate ignores report claims as authority.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 to stored scans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Cross-user identifier guessing.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Owner-scoped list/detail/delete service operations; aggregate isolation remains pending.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Export to third party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Schema mismatch or unintended source disclosure.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Pinned schema validation and minimal evidence fields; platform import separately tested.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Future patch sandbox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Untrusted tests or incompatible change.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Disposable copy, isolation, timeouts, authorization, rescan and rollback; not yet approved.</w:t>
            </w:r>
          </w:p>
        </w:tc>
      </w:tr>
    </w:tbl>
    <w:p>
      <w:pPr>
        <w:spacing w:after="20"/>
      </w:pPr>
    </w:p>
    <w:p>
      <w:pPr>
        <w:pStyle w:val="Heading1"/>
      </w:pPr>
      <w:r>
        <w:t>8. Requirements-to-diagram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Diagram element</w:t>
            </w:r>
          </w:p>
        </w:tc>
        <w:tc>
          <w:tcPr>
            <w:tcW w:type="dxa" w:w="41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Review evidence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FR-01 to FR-04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DFD P1/P2; Scan lifecycle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File/parse/error ledger and worker failure tests.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FR-05 to FR-06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DFD P3; CryptoIR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Signature, key-transport and unknown fixtures.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FR-07 to FR-10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DFD P4/D2; MigrationPlan; DecisionTrace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Schema 2.2, nine-rule registry, five-stage traces and patch=false.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FR-11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Report sequence endpoint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Validated SARIF and CBOM artifacts.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FR-13 / FR-16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PatchGate and trust boundary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243 assignments, 242 refusals; no transformation approved.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FR-14 / FR-15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Backend/presentation deployment components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Owner-scoped service tests; browser E2E pending.</w:t>
            </w:r>
          </w:p>
        </w:tc>
      </w:tr>
    </w:tbl>
    <w:p>
      <w:pPr>
        <w:spacing w:after="20"/>
      </w:pPr>
    </w:p>
    <w:p>
      <w:pPr>
        <w:pStyle w:val="Heading1"/>
      </w:pPr>
      <w:r>
        <w:t>9. Diagram review checklist</w:t>
      </w:r>
    </w:p>
    <w:p>
      <w:pPr>
        <w:pStyle w:val="ListBullet"/>
        <w:spacing w:after="40"/>
      </w:pPr>
      <w:r>
        <w:t>Trace a source request through P1-P4 to D2 and back to the developer.</w:t>
      </w:r>
    </w:p>
    <w:p>
      <w:pPr>
        <w:pStyle w:val="ListBullet"/>
        <w:spacing w:after="40"/>
      </w:pPr>
      <w:r>
        <w:t>Confirm level-0 and level-1 inputs/outputs are balanced.</w:t>
      </w:r>
    </w:p>
    <w:p>
      <w:pPr>
        <w:pStyle w:val="ListBullet"/>
        <w:spacing w:after="40"/>
      </w:pPr>
      <w:r>
        <w:t>Confirm a finding is not modelled as a migration plan or patch authorization.</w:t>
      </w:r>
    </w:p>
    <w:p>
      <w:pPr>
        <w:pStyle w:val="ListBullet"/>
        <w:spacing w:after="40"/>
      </w:pPr>
      <w:r>
        <w:t>Confirm UNKNOWN and FAILED are explicit states with conservative behavior.</w:t>
      </w:r>
    </w:p>
    <w:p>
      <w:pPr>
        <w:pStyle w:val="ListBullet"/>
        <w:spacing w:after="40"/>
      </w:pPr>
      <w:r>
        <w:t>Confirm Go semantic resolution, browser E2E and patch execution are not shown as fully verified.</w:t>
      </w:r>
    </w:p>
    <w:p>
      <w:pPr>
        <w:pStyle w:val="ListBullet"/>
        <w:spacing w:after="40"/>
      </w:pPr>
      <w:r>
        <w:t>Confirm every current output is advisory and tied to versions and source evidence.</w:t>
      </w:r>
    </w:p>
    <w:p>
      <w:pPr>
        <w:pStyle w:val="Heading1"/>
      </w:pPr>
      <w:r>
        <w:t>References</w:t>
      </w:r>
    </w:p>
    <w:p>
      <w:pPr>
        <w:ind w:left="288" w:hanging="288"/>
      </w:pPr>
      <w:r>
        <w:rPr>
          <w:b/>
        </w:rPr>
        <w:t xml:space="preserve">[1] </w:t>
      </w:r>
      <w:r>
        <w:t>National Institute of Standards and Technology, FIPS 203, Module-Lattice-Based Key-Encapsulation Mechanism Standard, 2024.</w:t>
      </w:r>
    </w:p>
    <w:p>
      <w:pPr>
        <w:ind w:left="288" w:hanging="288"/>
      </w:pPr>
      <w:r>
        <w:rPr>
          <w:b/>
        </w:rPr>
        <w:t xml:space="preserve">[2] </w:t>
      </w:r>
      <w:r>
        <w:t>National Institute of Standards and Technology, FIPS 204, Module-Lattice-Based Digital Signature Standard, 2024.</w:t>
      </w:r>
    </w:p>
    <w:p>
      <w:pPr>
        <w:ind w:left="288" w:hanging="288"/>
      </w:pPr>
      <w:r>
        <w:rPr>
          <w:b/>
        </w:rPr>
        <w:t xml:space="preserve">[3] </w:t>
      </w:r>
      <w:r>
        <w:t>National Institute of Standards and Technology, FIPS 205, Stateless Hash-Based Digital Signature Standard, 2024.</w:t>
      </w:r>
    </w:p>
    <w:p>
      <w:pPr>
        <w:ind w:left="288" w:hanging="288"/>
      </w:pPr>
      <w:r>
        <w:rPr>
          <w:b/>
        </w:rPr>
        <w:t xml:space="preserve">[4] </w:t>
      </w:r>
      <w:r>
        <w:t>OASIS, Static Analysis Results Interchange Format Version 2.1.0.</w:t>
      </w:r>
    </w:p>
    <w:p>
      <w:pPr>
        <w:ind w:left="288" w:hanging="288"/>
      </w:pPr>
      <w:r>
        <w:rPr>
          <w:b/>
        </w:rPr>
        <w:t xml:space="preserve">[5] </w:t>
      </w:r>
      <w:r>
        <w:t>OWASP, Software Component Verification Standard and secure source-analysis guidance.</w:t>
      </w:r>
    </w:p>
    <w:p>
      <w:pPr>
        <w:ind w:left="288" w:hanging="288"/>
      </w:pPr>
      <w:r>
        <w:rPr>
          <w:b/>
        </w:rPr>
        <w:t xml:space="preserve">[6] </w:t>
      </w:r>
      <w:r>
        <w:t>PQMigrate repository documentation: review evidence, schema specification, D7-D11 milestone records, commit 74b7ba4.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PQMigrate | UML and Data Flow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