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0" w:line="265" w:lineRule="auto"/>
        <w:keepNext/>
      </w:pPr>
      <w:r>
        <w:rPr>
          <w:b/>
          <w:color w:val="183F63"/>
          <w:sz w:val="34"/>
        </w:rPr>
        <w:t xml:space="preserve">DubraSec Security Intelligence Tagesbericht – 24.10.2026</w:t>
      </w:r>
    </w:p>
    <w:p>
      <w:pPr>
        <w:spacing w:after="70"/>
      </w:pPr>
    </w:p>
    <w:p>
      <w:pPr>
        <w:spacing w:after="95" w:line="265" w:lineRule="auto"/>
      </w:pPr>
      <w:r>
        <w:rPr>
          <w:b/>
          <w:sz w:val="19"/>
        </w:rPr>
        <w:t xml:space="preserve">Berichtszeitraum:</w:t>
      </w:r>
      <w:r>
        <w:rPr>
          <w:sz w:val="19"/>
        </w:rPr>
        <w:t xml:space="preserve"> 23.10.2026, 00:10 Uhr bis 24.10.2026, 00:10 Uhr (MESZ)</w:t>
      </w:r>
    </w:p>
    <w:p>
      <w:pPr>
        <w:spacing w:after="95" w:line="265" w:lineRule="auto"/>
      </w:pPr>
      <w:r>
        <w:rPr>
          <w:b/>
          <w:sz w:val="19"/>
        </w:rPr>
        <w:t xml:space="preserve">Quellenstand:</w:t>
      </w:r>
      <w:r>
        <w:rPr>
          <w:sz w:val="19"/>
        </w:rPr>
        <w:t xml:space="preserve"> 24.10.2026, ca. 00:15 Uhr MESZ</w:t>
      </w:r>
    </w:p>
    <w:p>
      <w:pPr>
        <w:spacing w:after="95" w:line="265" w:lineRule="auto"/>
      </w:pPr>
      <w:r>
        <w:rPr>
          <w:b/>
          <w:sz w:val="19"/>
        </w:rPr>
        <w:t xml:space="preserve">Faktenstatus:</w:t>
      </w:r>
      <w:r>
        <w:rPr>
          <w:sz w:val="19"/>
        </w:rPr>
        <w:t xml:space="preserve"> Selektives, öffentlich belegtes OSINT-Lagebild. Meldungen über ältere Ereignisse werden nicht als neue Angriffe ausgegeben.</w:t>
      </w:r>
    </w:p>
    <w:p>
      <w:pPr>
        <w:spacing w:after="70"/>
      </w:pPr>
    </w:p>
    <w:p>
      <w:pPr>
        <w:spacing w:after="145" w:line="265" w:lineRule="auto"/>
        <w:keepNext/>
      </w:pPr>
      <w:r>
        <w:rPr>
          <w:b/>
          <w:color w:val="183F63"/>
          <w:sz w:val="27"/>
        </w:rPr>
        <w:t xml:space="preserve">Lage auf einen Blick</w:t>
      </w:r>
    </w:p>
    <w:p>
      <w:pPr>
        <w:spacing w:after="70"/>
      </w:pPr>
    </w:p>
    <w:p>
      <w:pPr>
        <w:spacing w:after="95" w:line="265" w:lineRule="auto"/>
      </w:pPr>
      <w:r>
        <w:rPr>
          <w:sz w:val="19"/>
        </w:rPr>
        <w:t xml:space="preserve">Fünf am 23. Oktober veröffentlichte Meldungen mit Bezug zu kritischer Infrastruktur, Energie, Schifffahrt und Resilienz. Eine konkrete neue Gefährdung eines deutschen AXA-, DLR- oder Chemiepark-Standorts ergibt sich aus diesen Quellen nicht.</w:t>
      </w:r>
    </w:p>
    <w:p>
      <w:pPr>
        <w:spacing w:after="70"/>
      </w:pPr>
    </w:p>
    <w:p>
      <w:pPr>
        <w:spacing w:after="145" w:line="265" w:lineRule="auto"/>
        <w:keepNext/>
      </w:pPr>
      <w:r>
        <w:rPr>
          <w:b/>
          <w:color w:val="183F63"/>
          <w:sz w:val="27"/>
        </w:rPr>
        <w:t xml:space="preserve">01 | Golfregion – Rekordzahl von Angriffen auf Handelsschiffe</w:t>
      </w:r>
    </w:p>
    <w:p>
      <w:pPr>
        <w:spacing w:after="70"/>
      </w:pPr>
    </w:p>
    <w:p>
      <w:pPr>
        <w:spacing w:after="95" w:line="265" w:lineRule="auto"/>
      </w:pPr>
      <w:r>
        <w:rPr>
          <w:b/>
          <w:sz w:val="19"/>
        </w:rPr>
        <w:t xml:space="preserve">Ereignisdatum:</w:t>
      </w:r>
      <w:r>
        <w:rPr>
          <w:sz w:val="19"/>
        </w:rPr>
        <w:t xml:space="preserve"> Mehrere Angriffe im Oktober 2026; keine neue Einzelattacke am 23.10. nachgewiesen.</w:t>
      </w:r>
    </w:p>
    <w:p>
      <w:pPr>
        <w:spacing w:after="95" w:line="265" w:lineRule="auto"/>
      </w:pPr>
      <w:r>
        <w:rPr>
          <w:b/>
          <w:sz w:val="19"/>
        </w:rPr>
        <w:t xml:space="preserve">Veröffentlichung:</w:t>
      </w:r>
      <w:r>
        <w:rPr>
          <w:sz w:val="19"/>
        </w:rPr>
        <w:t xml:space="preserve"> 23.10.2026, 16:58 Uhr MESZ – Reuters.</w:t>
      </w:r>
    </w:p>
    <w:p>
      <w:pPr>
        <w:spacing w:after="70"/>
      </w:pPr>
    </w:p>
    <w:p>
      <w:pPr>
        <w:spacing w:after="95" w:line="265" w:lineRule="auto"/>
      </w:pPr>
      <w:r>
        <w:rPr>
          <w:sz w:val="19"/>
        </w:rPr>
        <w:t xml:space="preserve">Reuters berichtet anhand eines Vorfallregisters des Washington Institute for Near East Policy von 28 bestätigten und gemeldeten Angriffen auf Schiffe im Oktober in der Straße von Hormus und angrenzenden Gewässern. Ein Abgleich mit Daten der Internationalen Seeschifffahrtsorganisation zeigt zahlreiche beschädigte große Öltanker. Die Register haben unterschiedliche Erfassungsmethoden.</w:t>
      </w:r>
    </w:p>
    <w:p>
      <w:pPr>
        <w:spacing w:after="70"/>
      </w:pPr>
    </w:p>
    <w:p>
      <w:pPr>
        <w:spacing w:after="95" w:line="265" w:lineRule="auto"/>
      </w:pPr>
      <w:r>
        <w:rPr>
          <w:b/>
          <w:sz w:val="19"/>
        </w:rPr>
        <w:t xml:space="preserve">Faktenstatus:</w:t>
      </w:r>
      <w:r>
        <w:rPr>
          <w:sz w:val="19"/>
        </w:rPr>
        <w:t xml:space="preserve"> Belegte Reuters-Auswertung, Zahl und Klassifikation quellengebunden.</w:t>
      </w:r>
    </w:p>
    <w:p>
      <w:pPr>
        <w:spacing w:after="95" w:line="265" w:lineRule="auto"/>
      </w:pPr>
      <w:r>
        <w:rPr>
          <w:b/>
          <w:sz w:val="19"/>
        </w:rPr>
        <w:t xml:space="preserve">Relevanz:</w:t>
      </w:r>
      <w:r>
        <w:rPr>
          <w:sz w:val="19"/>
        </w:rPr>
        <w:t xml:space="preserve"> Hoch – maritime Transporte, Lieferketten, Energie und Versicherungen.</w:t>
      </w:r>
    </w:p>
    <w:p>
      <w:pPr>
        <w:spacing w:after="95" w:line="265" w:lineRule="auto"/>
      </w:pPr>
      <w:r>
        <w:rPr>
          <w:b/>
          <w:sz w:val="19"/>
        </w:rPr>
        <w:t xml:space="preserve">Risiko:</w:t>
      </w:r>
      <w:r>
        <w:rPr>
          <w:sz w:val="19"/>
        </w:rPr>
        <w:t xml:space="preserve"> Hoch auf betroffenen Routen; mittel als indirektes Risiko für Deutschland.</w:t>
      </w:r>
    </w:p>
    <w:p>
      <w:pPr>
        <w:spacing w:after="95" w:line="265" w:lineRule="auto"/>
      </w:pPr>
      <w:r>
        <w:rPr>
          <w:b/>
          <w:sz w:val="19"/>
        </w:rPr>
        <w:t xml:space="preserve">Empfehlung:</w:t>
      </w:r>
      <w:r>
        <w:rPr>
          <w:sz w:val="19"/>
        </w:rPr>
        <w:t xml:space="preserve"> Routen, Alternativen, Warentransportversicherungen und UKMTO-Meldungen prüfen.</w:t>
      </w:r>
    </w:p>
    <w:p>
      <w:pPr>
        <w:spacing w:after="95" w:line="265" w:lineRule="auto"/>
      </w:pPr>
      <w:r>
        <w:rPr>
          <w:b/>
          <w:sz w:val="19"/>
        </w:rPr>
        <w:t xml:space="preserve">Quelle:</w:t>
      </w:r>
      <w:r>
        <w:rPr>
          <w:sz w:val="19"/>
        </w:rPr>
        <w:t xml:space="preserve"> https://www.reuters.com/business/energy/ship-attacks-strait-hormuz-hit-record-high-october-2026-10-23/</w:t>
      </w:r>
    </w:p>
    <w:p>
      <w:pPr>
        <w:spacing w:after="70"/>
      </w:pPr>
    </w:p>
    <w:p>
      <w:pPr>
        <w:spacing w:after="145" w:line="265" w:lineRule="auto"/>
        <w:keepNext/>
      </w:pPr>
      <w:r>
        <w:rPr>
          <w:b/>
          <w:color w:val="183F63"/>
          <w:sz w:val="27"/>
        </w:rPr>
        <w:t xml:space="preserve">02 | Ukraine – Angriffe auf digitale Infrastruktur</w:t>
      </w:r>
    </w:p>
    <w:p>
      <w:pPr>
        <w:spacing w:after="70"/>
      </w:pPr>
    </w:p>
    <w:p>
      <w:pPr>
        <w:spacing w:after="95" w:line="265" w:lineRule="auto"/>
      </w:pPr>
      <w:r>
        <w:rPr>
          <w:b/>
          <w:sz w:val="19"/>
        </w:rPr>
        <w:t xml:space="preserve">Ereignisdatum:</w:t>
      </w:r>
      <w:r>
        <w:rPr>
          <w:sz w:val="19"/>
        </w:rPr>
        <w:t xml:space="preserve"> Laut ukrainischen Regierungsangaben im September und Oktober; Einzelzeitpunkte offen.</w:t>
      </w:r>
    </w:p>
    <w:p>
      <w:pPr>
        <w:spacing w:after="95" w:line="265" w:lineRule="auto"/>
      </w:pPr>
      <w:r>
        <w:rPr>
          <w:b/>
          <w:sz w:val="19"/>
        </w:rPr>
        <w:t xml:space="preserve">Veröffentlichung:</w:t>
      </w:r>
      <w:r>
        <w:rPr>
          <w:sz w:val="19"/>
        </w:rPr>
        <w:t xml:space="preserve"> 23.10.2026, 16:22 Uhr MESZ – Reuters.</w:t>
      </w:r>
    </w:p>
    <w:p>
      <w:pPr>
        <w:spacing w:after="70"/>
      </w:pPr>
    </w:p>
    <w:p>
      <w:pPr>
        <w:spacing w:after="95" w:line="265" w:lineRule="auto"/>
      </w:pPr>
      <w:r>
        <w:rPr>
          <w:sz w:val="19"/>
        </w:rPr>
        <w:t xml:space="preserve">Der ukrainische Ministerpräsident erklärte laut Reuters, Russland greife digitale Infrastruktur ähnlich systematisch an wie den Energiesektor. Allein im Vormonat seien zehn Rechenzentren in Kyjiw getroffen worden. Zusätzlich warnte er vor zunehmenden KI-gestützten Cyberangriffen.</w:t>
      </w:r>
    </w:p>
    <w:p>
      <w:pPr>
        <w:spacing w:after="70"/>
      </w:pPr>
    </w:p>
    <w:p>
      <w:pPr>
        <w:spacing w:after="95" w:line="265" w:lineRule="auto"/>
      </w:pPr>
      <w:r>
        <w:rPr>
          <w:b/>
          <w:sz w:val="19"/>
        </w:rPr>
        <w:t xml:space="preserve">Faktenstatus:</w:t>
      </w:r>
      <w:r>
        <w:rPr>
          <w:sz w:val="19"/>
        </w:rPr>
        <w:t xml:space="preserve"> Regierungsäußerung bestätigt; Zahl und Schadensbild der Rechenzentren nicht unabhängig vor Ort verifiziert.</w:t>
      </w:r>
    </w:p>
    <w:p>
      <w:pPr>
        <w:spacing w:after="95" w:line="265" w:lineRule="auto"/>
      </w:pPr>
      <w:r>
        <w:rPr>
          <w:b/>
          <w:sz w:val="19"/>
        </w:rPr>
        <w:t xml:space="preserve">Relevanz:</w:t>
      </w:r>
      <w:r>
        <w:rPr>
          <w:sz w:val="19"/>
        </w:rPr>
        <w:t xml:space="preserve"> Hoch – physischer Schutz von IT-Standorten und Energieabhängigkeiten.</w:t>
      </w:r>
    </w:p>
    <w:p>
      <w:pPr>
        <w:spacing w:after="95" w:line="265" w:lineRule="auto"/>
      </w:pPr>
      <w:r>
        <w:rPr>
          <w:b/>
          <w:sz w:val="19"/>
        </w:rPr>
        <w:t xml:space="preserve">Risiko:</w:t>
      </w:r>
      <w:r>
        <w:rPr>
          <w:sz w:val="19"/>
        </w:rPr>
        <w:t xml:space="preserve"> Hoch in der Konfliktregion; mittel als Resilienz-Szenario in Deutschland.</w:t>
      </w:r>
    </w:p>
    <w:p>
      <w:pPr>
        <w:spacing w:after="95" w:line="265" w:lineRule="auto"/>
      </w:pPr>
      <w:r>
        <w:rPr>
          <w:b/>
          <w:sz w:val="19"/>
        </w:rPr>
        <w:t xml:space="preserve">Empfehlung:</w:t>
      </w:r>
      <w:r>
        <w:rPr>
          <w:sz w:val="19"/>
        </w:rPr>
        <w:t xml:space="preserve"> Redundanz, Notstrom, Brandschutz, Zutritt und BCM-Wiederanlauf gemeinsam prüfen.</w:t>
      </w:r>
    </w:p>
    <w:p>
      <w:pPr>
        <w:spacing w:after="95" w:line="265" w:lineRule="auto"/>
      </w:pPr>
      <w:r>
        <w:rPr>
          <w:b/>
          <w:sz w:val="19"/>
        </w:rPr>
        <w:t xml:space="preserve">Quelle:</w:t>
      </w:r>
      <w:r>
        <w:rPr>
          <w:sz w:val="19"/>
        </w:rPr>
        <w:t xml:space="preserve"> https://www.reuters.com/business/aerospace-defense/russia-steps-up-attacks-ukraines-digital-infrastructure-kyiv-says-2026-10-23/</w:t>
      </w:r>
    </w:p>
    <w:p>
      <w:pPr>
        <w:spacing w:after="70"/>
      </w:pPr>
    </w:p>
    <w:p>
      <w:pPr>
        <w:spacing w:after="145" w:line="265" w:lineRule="auto"/>
        <w:keepNext/>
      </w:pPr>
      <w:r>
        <w:rPr>
          <w:b/>
          <w:color w:val="183F63"/>
          <w:sz w:val="27"/>
        </w:rPr>
        <w:t xml:space="preserve">03 | Saudi-Arabien – Angriffe auf Energieanlagen und Marktreaktion</w:t>
      </w:r>
    </w:p>
    <w:p>
      <w:pPr>
        <w:spacing w:after="70"/>
      </w:pPr>
    </w:p>
    <w:p>
      <w:pPr>
        <w:spacing w:after="95" w:line="265" w:lineRule="auto"/>
      </w:pPr>
      <w:r>
        <w:rPr>
          <w:b/>
          <w:sz w:val="19"/>
        </w:rPr>
        <w:t xml:space="preserve">Ereignisdatum:</w:t>
      </w:r>
      <w:r>
        <w:rPr>
          <w:sz w:val="19"/>
        </w:rPr>
        <w:t xml:space="preserve"> Vor dem 23.10.; genaue Zeitpunkte einzelner Attacken in dieser Quelle offen.</w:t>
      </w:r>
    </w:p>
    <w:p>
      <w:pPr>
        <w:spacing w:after="95" w:line="265" w:lineRule="auto"/>
      </w:pPr>
      <w:r>
        <w:rPr>
          <w:b/>
          <w:sz w:val="19"/>
        </w:rPr>
        <w:t xml:space="preserve">Veröffentlichung:</w:t>
      </w:r>
      <w:r>
        <w:rPr>
          <w:sz w:val="19"/>
        </w:rPr>
        <w:t xml:space="preserve"> 23.10.2026 – Reuters.</w:t>
      </w:r>
    </w:p>
    <w:p>
      <w:pPr>
        <w:spacing w:after="70"/>
      </w:pPr>
    </w:p>
    <w:p>
      <w:pPr>
        <w:spacing w:after="95" w:line="265" w:lineRule="auto"/>
      </w:pPr>
      <w:r>
        <w:rPr>
          <w:sz w:val="19"/>
        </w:rPr>
        <w:t xml:space="preserve">Reuters berichtet über steigende Ölpreise im Zusammenhang mit Huthi-Angriffen auf Saudi-Arabien, darunter Energieinfrastruktur. Brent schloss laut Reuters bei 116,72 US-Dollar je Barrel. Saudi Aramco hatte laut Bericht am Vortag die Räumung seines Hauptsitzes in Dhahran angeordnet.</w:t>
      </w:r>
    </w:p>
    <w:p>
      <w:pPr>
        <w:spacing w:after="70"/>
      </w:pPr>
    </w:p>
    <w:p>
      <w:pPr>
        <w:spacing w:after="95" w:line="265" w:lineRule="auto"/>
      </w:pPr>
      <w:r>
        <w:rPr>
          <w:b/>
          <w:sz w:val="19"/>
        </w:rPr>
        <w:t xml:space="preserve">Faktenstatus:</w:t>
      </w:r>
      <w:r>
        <w:rPr>
          <w:sz w:val="19"/>
        </w:rPr>
        <w:t xml:space="preserve"> Reuters-Marktdaten und Berichterstattung; nicht jede Attacke ist zeitlich einzeln verifiziert.</w:t>
      </w:r>
    </w:p>
    <w:p>
      <w:pPr>
        <w:spacing w:after="95" w:line="265" w:lineRule="auto"/>
      </w:pPr>
      <w:r>
        <w:rPr>
          <w:b/>
          <w:sz w:val="19"/>
        </w:rPr>
        <w:t xml:space="preserve">Relevanz:</w:t>
      </w:r>
      <w:r>
        <w:rPr>
          <w:sz w:val="19"/>
        </w:rPr>
        <w:t xml:space="preserve"> Hoch – Energieversorgung, Logistik, Reisen und versicherte Schäden.</w:t>
      </w:r>
    </w:p>
    <w:p>
      <w:pPr>
        <w:spacing w:after="95" w:line="265" w:lineRule="auto"/>
      </w:pPr>
      <w:r>
        <w:rPr>
          <w:b/>
          <w:sz w:val="19"/>
        </w:rPr>
        <w:t xml:space="preserve">Risiko:</w:t>
      </w:r>
      <w:r>
        <w:rPr>
          <w:sz w:val="19"/>
        </w:rPr>
        <w:t xml:space="preserve"> Hoch regional; mittel als indirektes Beschaffungsrisiko für Deutschland.</w:t>
      </w:r>
    </w:p>
    <w:p>
      <w:pPr>
        <w:spacing w:after="95" w:line="265" w:lineRule="auto"/>
      </w:pPr>
      <w:r>
        <w:rPr>
          <w:b/>
          <w:sz w:val="19"/>
        </w:rPr>
        <w:t xml:space="preserve">Empfehlung:</w:t>
      </w:r>
      <w:r>
        <w:rPr>
          <w:sz w:val="19"/>
        </w:rPr>
        <w:t xml:space="preserve"> Energie- und Treibstoffabhängigkeiten sowie regionale Reiserisiken aktualisieren.</w:t>
      </w:r>
    </w:p>
    <w:p>
      <w:pPr>
        <w:spacing w:after="95" w:line="265" w:lineRule="auto"/>
      </w:pPr>
      <w:r>
        <w:rPr>
          <w:b/>
          <w:sz w:val="19"/>
        </w:rPr>
        <w:t xml:space="preserve">Quelle:</w:t>
      </w:r>
      <w:r>
        <w:rPr>
          <w:sz w:val="19"/>
        </w:rPr>
        <w:t xml:space="preserve"> https://www.reuters.com/business/energy/oil-little-changed-supply-concern-lingers-amid-houthi-attacks-saudi-arabia-2026-10-23/</w:t>
      </w:r>
    </w:p>
    <w:p>
      <w:pPr>
        <w:spacing w:after="70"/>
      </w:pPr>
    </w:p>
    <w:p>
      <w:pPr>
        <w:spacing w:after="145" w:line="265" w:lineRule="auto"/>
        <w:keepNext/>
      </w:pPr>
      <w:r>
        <w:rPr>
          <w:b/>
          <w:color w:val="183F63"/>
          <w:sz w:val="27"/>
        </w:rPr>
        <w:t xml:space="preserve">04 | Frankreich/Großbritannien – Sturm Austen beeinträchtigt KRITIS</w:t>
      </w:r>
    </w:p>
    <w:p>
      <w:pPr>
        <w:spacing w:after="70"/>
      </w:pPr>
    </w:p>
    <w:p>
      <w:pPr>
        <w:spacing w:after="95" w:line="265" w:lineRule="auto"/>
      </w:pPr>
      <w:r>
        <w:rPr>
          <w:b/>
          <w:sz w:val="19"/>
        </w:rPr>
        <w:t xml:space="preserve">Ereignisdatum:</w:t>
      </w:r>
      <w:r>
        <w:rPr>
          <w:sz w:val="19"/>
        </w:rPr>
        <w:t xml:space="preserve"> 23.10.2026.</w:t>
      </w:r>
    </w:p>
    <w:p>
      <w:pPr>
        <w:spacing w:after="95" w:line="265" w:lineRule="auto"/>
      </w:pPr>
      <w:r>
        <w:rPr>
          <w:b/>
          <w:sz w:val="19"/>
        </w:rPr>
        <w:t xml:space="preserve">Veröffentlichung:</w:t>
      </w:r>
      <w:r>
        <w:rPr>
          <w:sz w:val="19"/>
        </w:rPr>
        <w:t xml:space="preserve"> 23.10.2026, 15:28 Uhr MESZ – Reuters.</w:t>
      </w:r>
    </w:p>
    <w:p>
      <w:pPr>
        <w:spacing w:after="70"/>
      </w:pPr>
    </w:p>
    <w:p>
      <w:pPr>
        <w:spacing w:after="95" w:line="265" w:lineRule="auto"/>
      </w:pPr>
      <w:r>
        <w:rPr>
          <w:sz w:val="19"/>
        </w:rPr>
        <w:t xml:space="preserve">Sturm Austen verursachte laut Reuters und Netzbetreiberangaben Stromausfälle bei zeitweise fast 300.000 Haushalten in Frankreich und rund 12.000 in Großbritannien. Bahn-, Flug- und Straßenverkehr waren ebenfalls beeinträchtigt.</w:t>
      </w:r>
    </w:p>
    <w:p>
      <w:pPr>
        <w:spacing w:after="70"/>
      </w:pPr>
    </w:p>
    <w:p>
      <w:pPr>
        <w:spacing w:after="95" w:line="265" w:lineRule="auto"/>
      </w:pPr>
      <w:r>
        <w:rPr>
          <w:b/>
          <w:sz w:val="19"/>
        </w:rPr>
        <w:t xml:space="preserve">Faktenstatus:</w:t>
      </w:r>
      <w:r>
        <w:rPr>
          <w:sz w:val="19"/>
        </w:rPr>
        <w:t xml:space="preserve"> Belegte Berichterstattung; dynamische Ausfallzahlen. Kein Angriff, sondern Naturereignis.</w:t>
      </w:r>
    </w:p>
    <w:p>
      <w:pPr>
        <w:spacing w:after="95" w:line="265" w:lineRule="auto"/>
      </w:pPr>
      <w:r>
        <w:rPr>
          <w:b/>
          <w:sz w:val="19"/>
        </w:rPr>
        <w:t xml:space="preserve">Relevanz:</w:t>
      </w:r>
      <w:r>
        <w:rPr>
          <w:sz w:val="19"/>
        </w:rPr>
        <w:t xml:space="preserve"> Mittel – Verfügbarkeit, Standort- und Lieferkettenresilienz.</w:t>
      </w:r>
    </w:p>
    <w:p>
      <w:pPr>
        <w:spacing w:after="95" w:line="265" w:lineRule="auto"/>
      </w:pPr>
      <w:r>
        <w:rPr>
          <w:b/>
          <w:sz w:val="19"/>
        </w:rPr>
        <w:t xml:space="preserve">Risiko:</w:t>
      </w:r>
      <w:r>
        <w:rPr>
          <w:sz w:val="19"/>
        </w:rPr>
        <w:t xml:space="preserve"> Hoch lokal; niedrig bis mittel für deutsche Standorte ohne konkrete Wetterwarnung.</w:t>
      </w:r>
    </w:p>
    <w:p>
      <w:pPr>
        <w:spacing w:after="95" w:line="265" w:lineRule="auto"/>
      </w:pPr>
      <w:r>
        <w:rPr>
          <w:b/>
          <w:sz w:val="19"/>
        </w:rPr>
        <w:t xml:space="preserve">Empfehlung:</w:t>
      </w:r>
      <w:r>
        <w:rPr>
          <w:sz w:val="19"/>
        </w:rPr>
        <w:t xml:space="preserve"> Kaskaden zwischen Strom, Gebäudeleittechnik, Zutritt, Kommunikation und Mobilität testen.</w:t>
      </w:r>
    </w:p>
    <w:p>
      <w:pPr>
        <w:spacing w:after="95" w:line="265" w:lineRule="auto"/>
      </w:pPr>
      <w:r>
        <w:rPr>
          <w:b/>
          <w:sz w:val="19"/>
        </w:rPr>
        <w:t xml:space="preserve">Quelle:</w:t>
      </w:r>
      <w:r>
        <w:rPr>
          <w:sz w:val="19"/>
        </w:rPr>
        <w:t xml:space="preserve"> https://www.reuters.com/business/energy/storm-causes-power-outages-traffic-disruptions-france-britain-2026-10-23/</w:t>
      </w:r>
    </w:p>
    <w:p>
      <w:pPr>
        <w:spacing w:after="70"/>
      </w:pPr>
    </w:p>
    <w:p>
      <w:pPr>
        <w:spacing w:after="145" w:line="265" w:lineRule="auto"/>
        <w:keepNext/>
      </w:pPr>
      <w:r>
        <w:rPr>
          <w:b/>
          <w:color w:val="183F63"/>
          <w:sz w:val="27"/>
        </w:rPr>
        <w:t xml:space="preserve">05 | Sudan/Südsudan – neue Erkenntnisse zu Drohnenangriff auf Treibstofflogistik</w:t>
      </w:r>
    </w:p>
    <w:p>
      <w:pPr>
        <w:spacing w:after="70"/>
      </w:pPr>
    </w:p>
    <w:p>
      <w:pPr>
        <w:spacing w:after="95" w:line="265" w:lineRule="auto"/>
      </w:pPr>
      <w:r>
        <w:rPr>
          <w:b/>
          <w:sz w:val="19"/>
        </w:rPr>
        <w:t xml:space="preserve">Ereignisdatum:</w:t>
      </w:r>
      <w:r>
        <w:rPr>
          <w:sz w:val="19"/>
        </w:rPr>
        <w:t xml:space="preserve"> Früher in der Woche um den 20.10.2026; genauer Zeitpunkt nicht abschließend geklärt.</w:t>
      </w:r>
    </w:p>
    <w:p>
      <w:pPr>
        <w:spacing w:after="95" w:line="265" w:lineRule="auto"/>
      </w:pPr>
      <w:r>
        <w:rPr>
          <w:b/>
          <w:sz w:val="19"/>
        </w:rPr>
        <w:t xml:space="preserve">Veröffentlichung:</w:t>
      </w:r>
      <w:r>
        <w:rPr>
          <w:sz w:val="19"/>
        </w:rPr>
        <w:t xml:space="preserve"> 23.10.2026 – Reuters.</w:t>
      </w:r>
    </w:p>
    <w:p>
      <w:pPr>
        <w:spacing w:after="70"/>
      </w:pPr>
    </w:p>
    <w:p>
      <w:pPr>
        <w:spacing w:after="95" w:line="265" w:lineRule="auto"/>
      </w:pPr>
      <w:r>
        <w:rPr>
          <w:sz w:val="19"/>
        </w:rPr>
        <w:t xml:space="preserve">Reuters berichtet über einen Drohnenangriff auf den Markt Amiet in Abyei, bei dem Treibstofflager und Fahrzeuge getroffen worden seien und zahlreiche Menschen starben. Ein möglicher Zusammenhang mit Lieferketten bewaffneter Gruppen wird analysiert. Die Verantwortlichkeit ist umstritten; Sudan bestreitet Beteiligung.</w:t>
      </w:r>
    </w:p>
    <w:p>
      <w:pPr>
        <w:spacing w:after="70"/>
      </w:pPr>
    </w:p>
    <w:p>
      <w:pPr>
        <w:spacing w:after="95" w:line="265" w:lineRule="auto"/>
      </w:pPr>
      <w:r>
        <w:rPr>
          <w:b/>
          <w:sz w:val="19"/>
        </w:rPr>
        <w:t xml:space="preserve">Faktenstatus:</w:t>
      </w:r>
      <w:r>
        <w:rPr>
          <w:sz w:val="19"/>
        </w:rPr>
        <w:t xml:space="preserve"> Angriff und Folgen journalistisch berichtet; Täter und einzelne Verbindungen nicht unabhängig geklärt.</w:t>
      </w:r>
    </w:p>
    <w:p>
      <w:pPr>
        <w:spacing w:after="95" w:line="265" w:lineRule="auto"/>
      </w:pPr>
      <w:r>
        <w:rPr>
          <w:b/>
          <w:sz w:val="19"/>
        </w:rPr>
        <w:t xml:space="preserve">Relevanz:</w:t>
      </w:r>
      <w:r>
        <w:rPr>
          <w:sz w:val="19"/>
        </w:rPr>
        <w:t xml:space="preserve"> Mittel – Schutz von Treibstofflogistik und Zivilpersonen.</w:t>
      </w:r>
    </w:p>
    <w:p>
      <w:pPr>
        <w:spacing w:after="95" w:line="265" w:lineRule="auto"/>
      </w:pPr>
      <w:r>
        <w:rPr>
          <w:b/>
          <w:sz w:val="19"/>
        </w:rPr>
        <w:t xml:space="preserve">Risiko:</w:t>
      </w:r>
      <w:r>
        <w:rPr>
          <w:sz w:val="19"/>
        </w:rPr>
        <w:t xml:space="preserve"> Hoch vor Ort; niedrig als unmittelbare Gefahr für Deutschland.</w:t>
      </w:r>
    </w:p>
    <w:p>
      <w:pPr>
        <w:spacing w:after="95" w:line="265" w:lineRule="auto"/>
      </w:pPr>
      <w:r>
        <w:rPr>
          <w:b/>
          <w:sz w:val="19"/>
        </w:rPr>
        <w:t xml:space="preserve">Empfehlung:</w:t>
      </w:r>
      <w:r>
        <w:rPr>
          <w:sz w:val="19"/>
        </w:rPr>
        <w:t xml:space="preserve"> Regionale Reisen und Lieferketten anhand lokaler Sicherheitsmeldungen bewerten.</w:t>
      </w:r>
    </w:p>
    <w:p>
      <w:pPr>
        <w:spacing w:after="95" w:line="265" w:lineRule="auto"/>
      </w:pPr>
      <w:r>
        <w:rPr>
          <w:b/>
          <w:sz w:val="19"/>
        </w:rPr>
        <w:t xml:space="preserve">Quelle:</w:t>
      </w:r>
      <w:r>
        <w:rPr>
          <w:sz w:val="19"/>
        </w:rPr>
        <w:t xml:space="preserve"> https://www.reuters.com/world/africa/drone-strike-market-town-exposes-reach-trade-fuelling-sudan-war-2026-10-23/</w:t>
      </w:r>
    </w:p>
    <w:p>
      <w:pPr>
        <w:spacing w:after="70"/>
      </w:pPr>
    </w:p>
    <w:p>
      <w:pPr>
        <w:spacing w:after="145" w:line="265" w:lineRule="auto"/>
        <w:keepNext/>
      </w:pPr>
      <w:r>
        <w:rPr>
          <w:b/>
          <w:color w:val="183F63"/>
          <w:sz w:val="27"/>
        </w:rPr>
        <w:t xml:space="preserve">Gezieltes Monitoring der Zielunternehmen</w:t>
      </w:r>
    </w:p>
    <w:p>
      <w:pPr>
        <w:spacing w:after="70"/>
      </w:pPr>
    </w:p>
    <w:p>
      <w:pPr>
        <w:spacing w:after="95" w:line="265" w:lineRule="auto"/>
      </w:pPr>
      <w:r>
        <w:rPr>
          <w:b/>
          <w:sz w:val="19"/>
        </w:rPr>
        <w:t xml:space="preserve">AXA, Versicherungen und amtierende AXA-Vorstände:</w:t>
      </w:r>
      <w:r>
        <w:rPr>
          <w:sz w:val="19"/>
        </w:rPr>
        <w:t xml:space="preserve"> In der geprüften aktuellen Auswahl keine ausreichend belegte neue negative Sicherheitsmeldung vom 23.10. gefunden. Ein Branchenbericht zur Arbeitgeberattraktivität vom 23.10. erlaubt ohne vollständige AXA-spezifische Ranginformation keine negative Einordnung.</w:t>
      </w:r>
    </w:p>
    <w:p>
      <w:pPr>
        <w:spacing w:after="95" w:line="265" w:lineRule="auto"/>
      </w:pPr>
      <w:r>
        <w:rPr>
          <w:sz w:val="19"/>
        </w:rPr>
        <w:t xml:space="preserve">Quelle: https://versicherungswirtschaft-heute.de/schlaglicht/2026-10-23/deutschlands-beste-arbeitgeber-2026-allianz-verteidigt-spitzenplatz-ergo-und-lvm-holen-auf/</w:t>
      </w:r>
    </w:p>
    <w:p>
      <w:pPr>
        <w:spacing w:after="70"/>
      </w:pPr>
    </w:p>
    <w:p>
      <w:pPr>
        <w:spacing w:after="95" w:line="265" w:lineRule="auto"/>
      </w:pPr>
      <w:r>
        <w:rPr>
          <w:b/>
          <w:sz w:val="19"/>
        </w:rPr>
        <w:t xml:space="preserve">DLR:</w:t>
      </w:r>
      <w:r>
        <w:rPr>
          <w:sz w:val="19"/>
        </w:rPr>
        <w:t xml:space="preserve"> Kontext außerhalb des Berichtsfensters: Der DLR-Projektträger meldete am 22.10., dass am 21.10. wegen einer PHP-Sicherheitslücke vorsorglich abgeschaltete Websites wieder erreichbar seien. Dies ist keine bestätigte Kompromittierung und keine neue Meldung vom 23.10.</w:t>
      </w:r>
    </w:p>
    <w:p>
      <w:pPr>
        <w:spacing w:after="95" w:line="265" w:lineRule="auto"/>
      </w:pPr>
      <w:r>
        <w:rPr>
          <w:sz w:val="19"/>
        </w:rPr>
        <w:t xml:space="preserve">Quelle: https://www.dlr.de/de/pt-lf/aktuelles/nachrichten/2026/websites-des-projekttraegers-luftfahrtforschung-aufgrund-von-php-sicherheitsluecke-voruebergehend-offline</w:t>
      </w:r>
    </w:p>
    <w:p>
      <w:pPr>
        <w:spacing w:after="70"/>
      </w:pPr>
    </w:p>
    <w:p>
      <w:pPr>
        <w:spacing w:after="95" w:line="265" w:lineRule="auto"/>
      </w:pPr>
      <w:r>
        <w:rPr>
          <w:b/>
          <w:sz w:val="19"/>
        </w:rPr>
        <w:t xml:space="preserve">YNCORIS, Infraserv Hürth, Chemiepark Hürth/Knapsack:</w:t>
      </w:r>
      <w:r>
        <w:rPr>
          <w:sz w:val="19"/>
        </w:rPr>
        <w:t xml:space="preserve"> Keine ausreichend belegte neue negative Sicherheitsmeldung im geprüften 24-Stunden-Zeitraum identifiziert. Kein Treffer bedeutet nicht Vorfallsfreiheit. YNCORIS firmierte früher als InfraServ Knapsack.</w:t>
      </w:r>
    </w:p>
    <w:p>
      <w:pPr>
        <w:spacing w:after="95" w:line="265" w:lineRule="auto"/>
      </w:pPr>
      <w:r>
        <w:rPr>
          <w:sz w:val="19"/>
        </w:rPr>
        <w:t xml:space="preserve">Quelle: https://www.yncoris.com/yncoris-auf-einen-blick/</w:t>
      </w:r>
    </w:p>
    <w:p>
      <w:pPr>
        <w:spacing w:after="70"/>
      </w:pPr>
    </w:p>
    <w:p>
      <w:pPr>
        <w:spacing w:after="145" w:line="265" w:lineRule="auto"/>
        <w:keepNext/>
      </w:pPr>
      <w:r>
        <w:rPr>
          <w:b/>
          <w:color w:val="183F63"/>
          <w:sz w:val="27"/>
        </w:rPr>
        <w:t xml:space="preserve">Priorisierte Prüfpunkte</w:t>
      </w:r>
    </w:p>
    <w:p>
      <w:pPr>
        <w:spacing w:after="70"/>
      </w:pPr>
    </w:p>
    <w:p>
      <w:pPr>
        <w:spacing w:after="95" w:line="265" w:lineRule="auto"/>
      </w:pPr>
      <w:r>
        <w:rPr>
          <w:sz w:val="19"/>
        </w:rPr>
        <w:t xml:space="preserve">1. Abhängigkeiten zwischen Energie, Zutrittskontrolle, Kommunikation und Rechenzentren überprüfen.</w:t>
      </w:r>
    </w:p>
    <w:p>
      <w:pPr>
        <w:spacing w:after="95" w:line="265" w:lineRule="auto"/>
      </w:pPr>
      <w:r>
        <w:rPr>
          <w:sz w:val="19"/>
        </w:rPr>
        <w:t xml:space="preserve">2. Transport- und Reiserisiken für die Golfregion sowie Lieferkettenalternativen verfolgen.</w:t>
      </w:r>
    </w:p>
    <w:p>
      <w:pPr>
        <w:spacing w:after="95" w:line="265" w:lineRule="auto"/>
      </w:pPr>
      <w:r>
        <w:rPr>
          <w:sz w:val="19"/>
        </w:rPr>
        <w:t xml:space="preserve">3. Ereignisdatum, Veröffentlichungsdatum, Faktenstatus und Quellenlage auch in Folgeberichten getrennt dokumentieren.</w:t>
      </w:r>
    </w:p>
    <w:p>
      <w:pPr>
        <w:spacing w:after="70"/>
      </w:pPr>
    </w:p>
    <w:p>
      <w:pPr>
        <w:spacing w:after="95" w:line="265" w:lineRule="auto"/>
      </w:pPr>
      <w:r>
        <w:rPr>
          <w:b/>
          <w:sz w:val="19"/>
        </w:rPr>
        <w:t xml:space="preserve">Methodik:</w:t>
      </w:r>
      <w:r>
        <w:rPr>
          <w:sz w:val="19"/>
        </w:rPr>
        <w:t xml:space="preserve"> Selektive Prüfung öffentlich zugänglicher Medien- und Primärquellen. Kein Vollständigkeitsanspruch. Keine unbelegten personenbezogenen Vorwürfe.</w:t>
      </w:r>
    </w:p>
    <w:p>
      <w:pPr>
        <w:spacing w:after="70"/>
      </w:pPr>
    </w:p>
    <w:sectPr>
      <w:pgSz w:w="11906" w:h="16838"/>
      <w:pgMar w:top="1120" w:right="1150" w:bottom="1050" w:left="1150" w:header="500" w:footer="500"/>
    </w:sectPr>
  </w:body>
</w:document>
</file>

<file path=word/styles.xml><?xml version="1.0" encoding="utf-8"?>
<w:styles xmlns:w="http://schemas.openxmlformats.org/wordprocessingml/2006/main">
  <w:style w:type="paragraph" w:default="1" w:styleId="Normal">
    <w:name w:val="Normal"/>
    <w:rPr>
      <w:rFonts w:ascii="Aptos" w:hAnsi="Aptos"/>
      <w:sz w:val="1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