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DubraSec Security Intelligence Tagesbericht – 29.10.2026</w:t>
      </w:r>
    </w:p>
    <w:p>
      <w:r>
        <w:t>Berichtszeitraum: 28.10.2026, 00:10 Uhr MEZ bis 29.10.2026, 00:10 Uhr MEZ (Europe/Berlin; exakt 24 Stunden).</w:t>
      </w:r>
    </w:p>
    <w:p>
      <w:r>
        <w:t>Quellenstand: Recherche unmittelbar nach dem Berichtsende am 29.10.2026. Veröffentlichungen vom 28.10.2026 und ausdrücklich gekennzeichnete neue Aktualisierungen älterer Ereignisse. Selektive OSINT-Auswertung, keine internen Unternehmensinformationen.</w:t>
      </w:r>
    </w:p>
    <w:p>
      <w:pPr>
        <w:pStyle w:val="Heading1"/>
      </w:pPr>
      <w:r>
        <w:t>Lage auf einen Blick</w:t>
      </w:r>
    </w:p>
    <w:p>
      <w:r>
        <w:t>Gesamtrisikoeinschätzung: ERHÖHT für die internationale externe Sicherheitslage; für deutsche AXA-Standorte aus den geprüften Meldungen keine konkrete neue Gefährdung ableitbar. Der Schwerpunkt liegt auf weiteren Drohnenangriffen auf Strom- und Treibstoffanlagen im Sudan, einer neuen internationalen Reaktion auf die dortigen Angriffe und der fortdauernden Unsicherheit um den behaupteten Raffinerietreffer in Saudi-Arabien. Im Cyberbereich sind am 28. Oktober neue Auswertungen von Ransomware-Leaksite-Behauptungen erschienen. Eine Täterbehauptung ist keine Bestätigung eines erfolgreichen Angriffs.</w:t>
      </w:r>
    </w:p>
    <w:p>
      <w:r>
        <w:t>Einordnung: Regional HOCH für tatsächlich ausgefallene Stromversorgungsanlagen im Sudan. MITTEL für mittelbare Auswirkungen auf Transport, Energiekosten, Betriebsunterbrechung und Versicherungsrisiken. Für AXA, YNCORIS, DLR, Infraserv Hürth und den Chemiepark Knapsack ist in den ausgewerteten öffentlichen Quellen keine neue direkte Betroffenheit nachgewiesen. Die Bewertung ist analytisch und keine behördliche Gefahrenstufe.</w:t>
      </w:r>
    </w:p>
    <w:p>
      <w:pPr>
        <w:pStyle w:val="Heading1"/>
      </w:pPr>
      <w:r>
        <w:t>A. Kritische Infrastruktur und physische Sicherheitslage</w:t>
      </w:r>
    </w:p>
    <w:p>
      <w:pPr>
        <w:pStyle w:val="Heading2"/>
      </w:pPr>
      <w:r>
        <w:t>01 | SUDAN / EL MANAGIL – Neue Drohnenangriffe auf Strom- und Treibstoffversorgung</w:t>
      </w:r>
    </w:p>
    <w:p>
      <w:r>
        <w:t>Ereignisdatum: 28.10.2026. Veröffentlichung: 28.10.2026, Anadolu Ajansı; Uhrzeit nicht verlässlich angegeben.</w:t>
      </w:r>
    </w:p>
    <w:p>
      <w:r>
        <w:t>Anadolu berichtet unter Berufung auf lokale Quellen, dass Drohnen am Mittwoch eine Hauptstromstation östlich von El Managil (Bundesstaat Gezira), einen Treibstofftanker in einem Öldepot und eine Tankstelle angriffen. Die Stromstation fiel dem Bericht zufolge aus; die Stromversorgung der Stadt wurde unterbrochen. Das genaue Schadensausmaß und Opferzahlen waren zunächst nicht bekannt. Der Vorfall steht im Zusammenhang mit mehreren Angriffstagen auf Energieanlagen in vom sudanesischen Militär kontrollierten Gebieten.</w:t>
      </w:r>
    </w:p>
    <w:p>
      <w:r>
        <w:t>Faktenstatus: Angriffe und Versorgungsausfall von Anadolu unter Berufung auf lokale Quellen berichtet; kein unabhängiger technischer Schadensnachweis im ausgewerteten Material. Keine gesicherte Täterzuordnung.</w:t>
      </w:r>
    </w:p>
    <w:p>
      <w:r>
        <w:t>Relevanz: HOCH – Elektrizität, Kraftstoff, Wasser-/Gesundheitsversorgung und standortübergreifende Kaskadeneffekte.</w:t>
      </w:r>
    </w:p>
    <w:p>
      <w:r>
        <w:t>Risikoeinschätzung: HOCH regional; MITTEL als übertragbares Szenario für Betriebsunterbrechung und Sach-/Transportversicherung.</w:t>
      </w:r>
    </w:p>
    <w:p>
      <w:r>
        <w:t>Empfehlung: In Standort- und BCM-Bewertungen Strom, Treibstoffnachschub, Wasser, Zutrittskontrolle und Kommunikationssysteme als gekoppelte Abhängigkeiten behandeln.</w:t>
      </w:r>
    </w:p>
    <w:p>
      <w:r>
        <w:t>Quelle: https://www.aa.com.tr/en/africa/drone-strikes-hit-power-station-in-sudan-s-managil-cutting-electricity/4103529</w:t>
      </w:r>
    </w:p>
    <w:p>
      <w:pPr>
        <w:pStyle w:val="Heading2"/>
      </w:pPr>
      <w:r>
        <w:t>02 | SUDAN – Neue Anschuldigungen zu Herkunft der Drohnen, nicht unabhängig belegt</w:t>
      </w:r>
    </w:p>
    <w:p>
      <w:r>
        <w:t>Ereignisdatum: Pressekonferenz und weitere gemeldete Angriffe am 28.10.2026; zugrunde liegende Angriffsserie 26.–28.10.2026. Veröffentlichung: 28.10.2026, Sudan Tribune.</w:t>
      </w:r>
    </w:p>
    <w:p>
      <w:r>
        <w:t>Sudanesische Regierungs- und Geheimdienstvertreter beschuldigten Äthiopien und die Vereinigten Arabischen Emirate, Drohnenangriffe auf zivile Infrastruktur zu ermöglichen. Sie präsentierten nach eigenen Angaben Flugwegdaten und Satellitenbilder. Zusätzlich berichtete Sudan Tribune über Treffer auf Energie- und Treibstoffanlagen im Bundesstaat Gezira sowie Infrastruktur mit Bezug zum Hafen Bashayer. Die Herkunft der Fluggeräte und die staatliche Beteiligung wurden nicht unabhängig verifiziert; Äthiopien und die VAE waren für eine Stellungnahme zunächst nicht erreichbar.</w:t>
      </w:r>
    </w:p>
    <w:p>
      <w:r>
        <w:t>Faktenstatus: Öffentliche Anschuldigung und Präsentation von Material BESTÄTIGT; inhaltliche Richtigkeit der Herkunfts- und Täterschaftsbehauptung NICHT UNABHÄNGIG VERIFIZIERT. Berichte über neue Treffer sind noch nicht vollständig technisch belegt.</w:t>
      </w:r>
    </w:p>
    <w:p>
      <w:r>
        <w:t>Relevanz: HOCH – regionale Energie-, Hafen- und Treibstofflogistik; Gefahr voreiliger Täterzuschreibung.</w:t>
      </w:r>
    </w:p>
    <w:p>
      <w:r>
        <w:t>Risikoeinschätzung: HOCH regional, MITTEL für internationale Transport- und Energieexponierungen.</w:t>
      </w:r>
    </w:p>
    <w:p>
      <w:r>
        <w:t>Empfehlung: Geografische Ausbreitung und Schadensfolgen getrennt von politischen Täterschaftsbehauptungen erfassen; Behauptungen nicht als gesicherte Attribution übernehmen.</w:t>
      </w:r>
    </w:p>
    <w:p>
      <w:r>
        <w:t>Quelle: https://sudantribune.com/article/320584</w:t>
      </w:r>
    </w:p>
    <w:p>
      <w:pPr>
        <w:pStyle w:val="Heading2"/>
      </w:pPr>
      <w:r>
        <w:t>03 | SUDAN – UN und Frankreich warnen vor Ausfällen essenzieller Infrastruktur</w:t>
      </w:r>
    </w:p>
    <w:p>
      <w:r>
        <w:t>Ereignisdatum: Neue öffentliche Einordnung am 28.10.2026; zugrunde liegende Angriffe 26.–27.10.2026. Veröffentlichung: 28.10.2026, 18:19 Uhr laut Radio Dabanga (Zeitzone nicht angegeben).</w:t>
      </w:r>
    </w:p>
    <w:p>
      <w:r>
        <w:t>Radio Dabanga berichtet über Stellungnahmen des UN-Büros für humanitäre Angelegenheiten (OCHA) und der französischen Botschaft. OCHA warnte vor Schäden an lebenswichtiger ziviler Infrastruktur und Unterbrechungen essenzieller Dienstleistungen für Millionen Menschen. Die UN bezog sich unter anderem auf ein getroffenes Umspannwerk für Khartum und vorherige Angriffe auf Stromstationen in mehreren Bundesstaaten. Dies ist eine neue institutionelle Bewertung der bereits gemeldeten Angriffswelle und kein weiterer eigenständiger Treffer.</w:t>
      </w:r>
    </w:p>
    <w:p>
      <w:r>
        <w:t>Faktenstatus: Veröffentlichung der UN-/Botschaftseinordnungen berichtet; konkrete Schäden und Opferzahlen beruhen teilweise auf Behörden- und Medienmeldungen. Kein zusätzlicher Angriff allein aus dieser Stellungnahme ableitbar.</w:t>
      </w:r>
    </w:p>
    <w:p>
      <w:r>
        <w:t>Relevanz: HOCH – Kaskadenrisiken Strom/Wasser/Gesundheit und Schutz ziviler Infrastruktur.</w:t>
      </w:r>
    </w:p>
    <w:p>
      <w:r>
        <w:t>Risikoeinschätzung: HOCH für betroffene Regionen, MITTEL als internationales Resilienzszenario.</w:t>
      </w:r>
    </w:p>
    <w:p>
      <w:r>
        <w:t>Empfehlung: Bei der Risikoberichterstattung direkte physische Schäden, nachgelagerte Versorgungsausfälle und institutionelle Warnungen getrennt dokumentieren.</w:t>
      </w:r>
    </w:p>
    <w:p>
      <w:r>
        <w:t>Quelle: https://www.dabangasudan.org/en/all-news/article/un-france-condemn-escalating-drone-attacks-across-sudan</w:t>
      </w:r>
    </w:p>
    <w:p>
      <w:pPr>
        <w:pStyle w:val="Heading2"/>
      </w:pPr>
      <w:r>
        <w:t>04 | SAUDI-ARABIEN / RAS TANURA – Aktualisierung der Raketenabwehr, Raffinerietreffer ungeklärt</w:t>
      </w:r>
    </w:p>
    <w:p>
      <w:r>
        <w:t>Ereignisdatum: 27.10.2026 (Vortagesereignis). Neue Veröffentlichung: 28.10.2026, 06:50 Uhr Aktualisierung laut Dawn/AFP; Ortszeit der Website.</w:t>
      </w:r>
    </w:p>
    <w:p>
      <w:r>
        <w:t>Eine am 28. Oktober veröffentlichte AFP-Darstellung berichtet, dass Saudi-Arabien die Abwehr von Raketen über Riad und der Ostprovinz bestätigte. Trümmer beschädigten demnach Objekte in der Hauptstadt. Die Huthi-Bewegung hatte am 27. Oktober behauptet, Ras Tanura direkt getroffen und große Brände verursacht zu haben. Eine maritime Sicherheitsquelle meldete einen inzwischen eingedämmten Brand im Bereich Ras Tanura; Ursache, Umfang des Schadens und Folgen für den Ölumschlag blieben unklar. Die aktualisierte Meldung belegt daher keinen bestätigten direkten Raffinerietreffer.</w:t>
      </w:r>
    </w:p>
    <w:p>
      <w:r>
        <w:t>Faktenstatus: Saudische Raketenabwehr laut Behördenangaben; Huthi-Trefferbehauptung UNBESTÄTIGT; Brandmeldung und Ursache nicht unabhängig abschließend geklärt.</w:t>
      </w:r>
    </w:p>
    <w:p>
      <w:r>
        <w:t>Relevanz: HOCH – Ölversorgung, Häfen, Lieferketten, Sach- und Transportversicherung.</w:t>
      </w:r>
    </w:p>
    <w:p>
      <w:r>
        <w:t>Risikoeinschätzung: HOCH regional; MITTEL indirekt für europäische Versicherer und energieabhängige Betriebe.</w:t>
      </w:r>
    </w:p>
    <w:p>
      <w:r>
        <w:t>Empfehlung: Für wirtschaftliche Schadensannahmen nur bestätigte Betriebsunterbrechungen und Betreiberangaben nutzen; den behaupteten Treffer weiterhin separat kennzeichnen.</w:t>
      </w:r>
    </w:p>
    <w:p>
      <w:r>
        <w:t>Quelle: https://www.dawn.com/news/2040379</w:t>
      </w:r>
    </w:p>
    <w:p>
      <w:pPr>
        <w:pStyle w:val="Heading1"/>
      </w:pPr>
      <w:r>
        <w:t>B. Versicherungsbranche, Cyberangriffe und Bedrohungsdaten</w:t>
      </w:r>
    </w:p>
    <w:p>
      <w:pPr>
        <w:pStyle w:val="Heading2"/>
      </w:pPr>
      <w:r>
        <w:t>05 | INTERNATIONAL – Neue Ransomware-Leaksite-Auswertung vom 28. Oktober</w:t>
      </w:r>
    </w:p>
    <w:p>
      <w:r>
        <w:t>Ereignisdatum: Veröffentlichung von Täterbehauptungen bis einschließlich 28.10.2026 (UTC). Veröffentlichung: HackerFeeds, Datenstand 28.10.2026; Uhrzeit und finale Tagesabgrenzung nicht gesichert.</w:t>
      </w:r>
    </w:p>
    <w:p>
      <w:r>
        <w:t>Die öffentlich abrufbare Monatsauswertung von HackerFeeds listete zum Recherchezeitpunkt 971 von Ransomware-Gruppen behauptete Opfer für Oktober 2026, darunter 45 mit Länderzuordnung Deutschland. Genannt werden auch Branchen wie Fertigung, Transport, Finanzdienstleistungen und Energie. Die Angaben beruhen auf Leaksite-Einträgen, sind dynamisch und keine behördlich oder durch Betroffene bestätigte Vorfallstatistik. Einzelne am 28. Oktober neu aufgelistete Namen werden deshalb nicht als nachweislich kompromittierte Unternehmen bezeichnet.</w:t>
      </w:r>
    </w:p>
    <w:p>
      <w:r>
        <w:t>Faktenstatus: Veröffentlichung und Zählung der Plattform nachvollziehbar; die zugrunde liegenden Täterbehauptungen NICHT UNABHÄNGIG VERIFIZIERT. Zahlen können sich nachträglich ändern.</w:t>
      </w:r>
    </w:p>
    <w:p>
      <w:r>
        <w:t>Relevanz: MITTEL – Frühindikator für Erpressungsaktivität und mögliche Drittparteienrisiken, nicht als bestätigte Schadenfallzahl geeignet.</w:t>
      </w:r>
    </w:p>
    <w:p>
      <w:r>
        <w:t>Risikoeinschätzung: MITTEL als allgemeine Cyberbedrohung, keine konkrete neue AXA-Betroffenheit nachgewiesen.</w:t>
      </w:r>
    </w:p>
    <w:p>
      <w:r>
        <w:t>Empfehlung: Leaksite-Behauptungen in einer gesonderten Beobachtungskategorie führen und erst nach Betreiber-, Behörden- oder unabhängiger Bestätigung als tatsächliche Vorfälle einstufen.</w:t>
      </w:r>
    </w:p>
    <w:p>
      <w:r>
        <w:t>Quelle: https://hackerfeeds.com/ransomware/reports/2026-10</w:t>
      </w:r>
    </w:p>
    <w:p>
      <w:r>
        <w:t>Versicherungsbranche: Für den Berichtszeitraum wurde in der selektiven Recherche kein neuer, unabhängig bestätigter Cyberangriff auf einen Versicherer mit Veröffentlichungsdatum 28.10.2026 festgestellt. Die bereits am 27.10.2026 publizierte Untersuchung eines möglichen Vorfalls bei Rand Mutual Assurance wird nicht als neue bestätigte Meldung ausgegeben. RMA hat nach eigenen Angaben noch nicht bestätigt, dass Daten abgeflossen sind. Hintergrundquelle: https://www.itweb.co.za/article/rand-mutual-probes-alleged-breach-of-168m-claims/G98YdqLGAgXMX2PD</w:t>
      </w:r>
    </w:p>
    <w:p>
      <w:r>
        <w:t>Energie- und Versicherungsmarkt: Reuters berichtete am 28.10.2026 über Rekordgewinne bei Phillips 66 aufgrund höherer Raffineriemargen im Kontext kriegsbedingter Versorgungsstörungen. Dies ist eine neue Markt-/Folgenmeldung, kein neu nachgewiesener Angriff. Relevant sind Energiepreis-, Lieferketten- und Betriebsunterbrechungsexponierungen. Quelle: https://www.reuters.com/business/energy/phillips-66-beats-quarterly-profit-estimates-refining-margins-soar-2026-10-28/</w:t>
      </w:r>
    </w:p>
    <w:p>
      <w:pPr>
        <w:pStyle w:val="Heading1"/>
      </w:pPr>
      <w:r>
        <w:t>C. AXA, Vorstandsmitglieder und Standortmonitoring</w:t>
      </w:r>
    </w:p>
    <w:p>
      <w:r>
        <w:t>AXA / AXA Deutschland: Keine neue, durch belastbare öffentliche Quellen belegte negative Sicherheitsmeldung mit direkter Betroffenheit am 28.10.2026 identifiziert. Aktienkurse und ältere Meldungen werden nicht als Sicherheitsvorfall interpretiert.</w:t>
      </w:r>
    </w:p>
    <w:p>
      <w:r>
        <w:t>AXA-Führung: Für aktuelle AXA-Gremien und Vorstände wurden keine neuen hinreichend belegten personenbezogenen Sicherheits- oder Compliance-Vorfälle im Berichtszeitraum identifiziert. Die offiziellen Unternehmensseiten dienen der Verifikation der Funktion, nicht als Beleg für Verdachtsmomente. Quellen: https://www.axa.com/en/news ; https://www.axa.com/about-us/executive-management ; https://www.axa.com/en/about-us/members-board-of-directors</w:t>
      </w:r>
    </w:p>
    <w:p>
      <w:r>
        <w:t>YNCORIS / Infraserv Hürth / Chemiepark Knapsack: Keine belastbare neue öffentliche Meldung über Angriff, Sabotage, Brand oder Cybervorfall mit Ereignis-/Veröffentlichungsdatum 28.10.2026 festgestellt. Quellen zur Beobachtung: https://www.yncoris.com/mehr/news-termine ; https://www.chemiepark-knapsack.de/news</w:t>
      </w:r>
    </w:p>
    <w:p>
      <w:r>
        <w:t>DLR: Keine neue belastbare Angriffsmeldung im Zeitraum gefunden. Quelle zur Beobachtung: https://www.dlr.de/</w:t>
      </w:r>
    </w:p>
    <w:p>
      <w:r>
        <w:t>Grenze der Aussage: Ein negativer Suchbefund bedeutet nicht, dass intern kein Vorfall stattgefunden hat. Es wurden ausschließlich öffentliche Informationen ausgewertet; keine internen Unternehmensdaten verwendet.</w:t>
      </w:r>
    </w:p>
    <w:p>
      <w:pPr>
        <w:pStyle w:val="Heading1"/>
      </w:pPr>
      <w:r>
        <w:t>D. Priorisierte Empfehlungen</w:t>
      </w:r>
    </w:p>
    <w:p>
      <w:r>
        <w:t>1. Kritische Abhängigkeiten zwischen Strom, Treibstoff, Wasser, Kommunikations- und Zutrittssystemen bei Standortassessments und BCM-Szenarien gemeinsam prüfen.</w:t>
      </w:r>
    </w:p>
    <w:p>
      <w:r>
        <w:t>2. Für internationale Energie- und Transportexponierungen nachweisbare Sachschäden und bestätigte Betriebsunterbrechungen von Kriegsparteibehauptungen strikt trennen.</w:t>
      </w:r>
    </w:p>
    <w:p>
      <w:r>
        <w:t>3. Bei Drohnenvorfällen die operative Meldelage, Behördenkommunikation und die Folgen für angrenzende Versorgungsnetze in einer einheitlichen Lagebewertung zusammenführen.</w:t>
      </w:r>
    </w:p>
    <w:p>
      <w:r>
        <w:t>4. Ransomware-Leaksite-Meldungen ausschließlich als unbestätigte Frühindikatoren führen, bis unabhängige Bestätigung vorliegt.</w:t>
      </w:r>
    </w:p>
    <w:p>
      <w:r>
        <w:t>5. Bei allen Zielorganisationen nur öffentlich belegte Ereignisse berichten; fehlende Treffer transparent als Recherchegrenze benennen.</w:t>
      </w:r>
    </w:p>
    <w:p>
      <w:pPr>
        <w:pStyle w:val="Heading1"/>
      </w:pPr>
      <w:r>
        <w:t>E. Methodik und Grenzen</w:t>
      </w:r>
    </w:p>
    <w:p>
      <w:r>
        <w:t>Zeitfenster 28.10.2026, 00:10 bis 29.10.2026, 00:10 MEZ. Auswahl aus öffentlichen Meldungen, ohne eigene forensische oder Vor-Ort-Verifikation. Ein älteres Ereignis wird nur dann aufgenommen, wenn im Fenster eine neue belegte Entwicklung veröffentlicht wurde; dies wird ausdrücklich markiert. Für Quellen ohne belastbare Veröffentlichungsuhrzeit wird nur das Datum genannt. Täterangaben, politische Anschuldigungen und Leaksite-Einträge sind nicht automatisch Tatsachen. Bewertungen sind qualitative Analysen, keine amtlichen Warnstufen.</w:t>
      </w:r>
    </w:p>
    <w:p>
      <w:r>
        <w:t>Berichtsarchiv: https://rattabautz.github.io/dubrasec-archiv/</w:t>
      </w:r>
    </w:p>
    <w:sectPr w:rsidR="00FC693F" w:rsidRPr="0006063C" w:rsidSect="00034616">
      <w:headerReference w:type="default" r:id="rId9"/>
      <w:footerReference w:type="default" r:id="rId10"/>
      <w:pgSz w:w="12240" w:h="15840"/>
      <w:pgMar w:top="1247"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DubraSec · OSINT · 2026-10-29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DUBRASEC  /  SECURITY INTELLIGENCE  /  TAGESBERICHT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B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2C4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2C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52C4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DubraSec Security Intelligence Tagesbericht 2026-10-29</dc:title>
  <dc:subject/>
  <dc:creator>DubraSec</dc:creator>
  <cp:keywords/>
  <dc:description>generated by python-docx</dc:description>
  <cp:lastModifiedBy/>
  <cp:revision>1</cp:revision>
  <dcterms:created xsi:type="dcterms:W3CDTF">2013-12-23T23:15:00Z</dcterms:created>
  <dcterms:modified xsi:type="dcterms:W3CDTF">2013-12-23T23:15:00Z</dcterms:modified>
  <cp:category/>
</cp:coreProperties>
</file>