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60"/>
        </w:rPr>
        <w:t>StudyAbroad.AI</w:t>
      </w:r>
    </w:p>
    <w:p>
      <w:pPr>
        <w:jc w:val="center"/>
      </w:pPr>
      <w:r>
        <w:rPr>
          <w:b/>
          <w:color w:val="2563EB"/>
          <w:sz w:val="28"/>
        </w:rPr>
        <w:t>Autonomous Multi-Agent Higher Education Intelligence Platform</w:t>
      </w:r>
    </w:p>
    <w:p>
      <w:pPr>
        <w:jc w:val="center"/>
      </w:pPr>
      <w:r>
        <w:rPr>
          <w:color w:val="64748B"/>
          <w:sz w:val="22"/>
        </w:rPr>
        <w:t>Comprehensive Product Architecture, Feature Specifications &amp; Client Demonstration Manual</w:t>
        <w:br/>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b/>
                <w:color w:val="0F172A"/>
                <w:sz w:val="20"/>
              </w:rPr>
              <w:t>Platform Version</w:t>
            </w:r>
          </w:p>
        </w:tc>
        <w:tc>
          <w:tcPr>
            <w:tcW w:type="dxa" w:w="6192"/>
            <w:shd w:fill="F8FAFC"/>
            <w:tcMar>
              <w:top w:w="80" w:type="dxa"/>
              <w:bottom w:w="80" w:type="dxa"/>
              <w:left w:w="120" w:type="dxa"/>
              <w:right w:w="120" w:type="dxa"/>
            </w:tcMar>
          </w:tcPr>
          <w:p>
            <w:r>
              <w:rPr>
                <w:sz w:val="20"/>
              </w:rPr>
              <w:t>v1.0.0 Production Release (Fully Operational)</w:t>
            </w:r>
          </w:p>
        </w:tc>
      </w:tr>
      <w:tr>
        <w:tc>
          <w:tcPr>
            <w:tcW w:type="dxa" w:w="3168"/>
            <w:shd w:fill="F1F5F9"/>
            <w:tcMar>
              <w:top w:w="80" w:type="dxa"/>
              <w:bottom w:w="80" w:type="dxa"/>
              <w:left w:w="120" w:type="dxa"/>
              <w:right w:w="120" w:type="dxa"/>
            </w:tcMar>
          </w:tcPr>
          <w:p>
            <w:r>
              <w:rPr>
                <w:b/>
                <w:color w:val="0F172A"/>
                <w:sz w:val="20"/>
              </w:rPr>
              <w:t>Core Architecture</w:t>
            </w:r>
          </w:p>
        </w:tc>
        <w:tc>
          <w:tcPr>
            <w:tcW w:type="dxa" w:w="6192"/>
            <w:shd w:fill="F8FAFC"/>
            <w:tcMar>
              <w:top w:w="80" w:type="dxa"/>
              <w:bottom w:w="80" w:type="dxa"/>
              <w:left w:w="120" w:type="dxa"/>
              <w:right w:w="120" w:type="dxa"/>
            </w:tcMar>
          </w:tcPr>
          <w:p>
            <w:r>
              <w:rPr>
                <w:sz w:val="20"/>
              </w:rPr>
              <w:t>Autonomous 12-Agent Intelligence Mesh with Vector Retrieval (FAISS)</w:t>
            </w:r>
          </w:p>
        </w:tc>
      </w:tr>
      <w:tr>
        <w:tc>
          <w:tcPr>
            <w:tcW w:type="dxa" w:w="3168"/>
            <w:shd w:fill="F1F5F9"/>
            <w:tcMar>
              <w:top w:w="80" w:type="dxa"/>
              <w:bottom w:w="80" w:type="dxa"/>
              <w:left w:w="120" w:type="dxa"/>
              <w:right w:w="120" w:type="dxa"/>
            </w:tcMar>
          </w:tcPr>
          <w:p>
            <w:r>
              <w:rPr>
                <w:b/>
                <w:color w:val="0F172A"/>
                <w:sz w:val="20"/>
              </w:rPr>
              <w:t>Operating Cost</w:t>
            </w:r>
          </w:p>
        </w:tc>
        <w:tc>
          <w:tcPr>
            <w:tcW w:type="dxa" w:w="6192"/>
            <w:shd w:fill="F8FAFC"/>
            <w:tcMar>
              <w:top w:w="80" w:type="dxa"/>
              <w:bottom w:w="80" w:type="dxa"/>
              <w:left w:w="120" w:type="dxa"/>
              <w:right w:w="120" w:type="dxa"/>
            </w:tcMar>
          </w:tcPr>
          <w:p>
            <w:r>
              <w:rPr>
                <w:sz w:val="20"/>
              </w:rPr>
              <w:t>$0.00 / month (Zero Local GPU / Zero VPS Compute Fees)</w:t>
            </w:r>
          </w:p>
        </w:tc>
      </w:tr>
      <w:tr>
        <w:tc>
          <w:tcPr>
            <w:tcW w:type="dxa" w:w="3168"/>
            <w:shd w:fill="F1F5F9"/>
            <w:tcMar>
              <w:top w:w="80" w:type="dxa"/>
              <w:bottom w:w="80" w:type="dxa"/>
              <w:left w:w="120" w:type="dxa"/>
              <w:right w:w="120" w:type="dxa"/>
            </w:tcMar>
          </w:tcPr>
          <w:p>
            <w:r>
              <w:rPr>
                <w:b/>
                <w:color w:val="0F172A"/>
                <w:sz w:val="20"/>
              </w:rPr>
              <w:t>Target Users</w:t>
            </w:r>
          </w:p>
        </w:tc>
        <w:tc>
          <w:tcPr>
            <w:tcW w:type="dxa" w:w="6192"/>
            <w:shd w:fill="F8FAFC"/>
            <w:tcMar>
              <w:top w:w="80" w:type="dxa"/>
              <w:bottom w:w="80" w:type="dxa"/>
              <w:left w:w="120" w:type="dxa"/>
              <w:right w:w="120" w:type="dxa"/>
            </w:tcMar>
          </w:tcPr>
          <w:p>
            <w:r>
              <w:rPr>
                <w:sz w:val="20"/>
              </w:rPr>
              <w:t>Prospective International Students, Universities &amp; Education Consultancies</w:t>
            </w:r>
          </w:p>
        </w:tc>
      </w:tr>
      <w:tr>
        <w:tc>
          <w:tcPr>
            <w:tcW w:type="dxa" w:w="3168"/>
            <w:shd w:fill="F1F5F9"/>
            <w:tcMar>
              <w:top w:w="80" w:type="dxa"/>
              <w:bottom w:w="80" w:type="dxa"/>
              <w:left w:w="120" w:type="dxa"/>
              <w:right w:w="120" w:type="dxa"/>
            </w:tcMar>
          </w:tcPr>
          <w:p>
            <w:r>
              <w:rPr>
                <w:b/>
                <w:color w:val="0F172A"/>
                <w:sz w:val="20"/>
              </w:rPr>
              <w:t>Prepared For</w:t>
            </w:r>
          </w:p>
        </w:tc>
        <w:tc>
          <w:tcPr>
            <w:tcW w:type="dxa" w:w="6192"/>
            <w:shd w:fill="F8FAFC"/>
            <w:tcMar>
              <w:top w:w="80" w:type="dxa"/>
              <w:bottom w:w="80" w:type="dxa"/>
              <w:left w:w="120" w:type="dxa"/>
              <w:right w:w="120" w:type="dxa"/>
            </w:tcMar>
          </w:tcPr>
          <w:p>
            <w:r>
              <w:rPr>
                <w:sz w:val="20"/>
              </w:rPr>
              <w:t>Client Presentation, Executive Review &amp; Technical Verification</w:t>
            </w:r>
          </w:p>
        </w:tc>
      </w:tr>
    </w:tbl>
    <w:p>
      <w:r>
        <w:br w:type="page"/>
      </w:r>
    </w:p>
    <w:p>
      <w:pPr>
        <w:pStyle w:val="Heading1"/>
        <w:spacing w:before="320" w:after="120"/>
      </w:pPr>
      <w:r>
        <w:rPr>
          <w:b/>
          <w:color w:val="0F172A"/>
          <w:sz w:val="36"/>
        </w:rPr>
        <w:t>1. Executive Summary &amp; Strategic Value Proposition</w:t>
      </w:r>
    </w:p>
    <w:p>
      <w:r>
        <w:t>StudyAbroad.AI is an enterprise-grade artificial intelligence platform designed to replace the opaque, costly, and fragmented study-abroad consulting industry with a network of 12 specialized autonomous AI agents. Traditional study-abroad agencies charge students between $3,000 and $10,000 USD for manual counseling, university selection, statement of purpose (SOP) editing, scholarship matching, and visa guidance. In addition, agencies frequently push partner universities that pay high recruitment commissions rather than finding the best academic fit for the student.</w:t>
      </w:r>
    </w:p>
    <w:p>
      <w:r>
        <w:t>StudyAbroad.AI completely dismantles this business model. Using high-dimensional dense vector embeddings (FAISS), custom web scrapers, and high-speed free-tier cloud LLMs (Groq Llama 3.3 70B &amp; Gemini Flash), the platform delivers instant, 100% objective, admissions-grade guidance across 10,000+ world programs at zero operating cost.</w:t>
      </w:r>
    </w:p>
    <w:p>
      <w:pPr>
        <w:pStyle w:val="Heading1"/>
        <w:spacing w:before="320" w:after="120"/>
      </w:pPr>
      <w:r>
        <w:rPr>
          <w:b/>
          <w:color w:val="0F172A"/>
          <w:sz w:val="36"/>
        </w:rPr>
        <w:t>2. Traditional Consulting vs. StudyAbroad.AI Comparison</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sz w:val="20"/>
              </w:rPr>
              <w:t>Evaluation Metric</w:t>
            </w:r>
          </w:p>
        </w:tc>
        <w:tc>
          <w:tcPr>
            <w:tcW w:type="dxa" w:w="3120"/>
            <w:shd w:fill="1E3A8A"/>
            <w:tcMar>
              <w:top w:w="100" w:type="dxa"/>
              <w:bottom w:w="100" w:type="dxa"/>
              <w:left w:w="120" w:type="dxa"/>
              <w:right w:w="120" w:type="dxa"/>
            </w:tcMar>
          </w:tcPr>
          <w:p>
            <w:r>
              <w:rPr>
                <w:b/>
                <w:color w:val="FFFFFF"/>
                <w:sz w:val="20"/>
              </w:rPr>
              <w:t>Traditional Study Abroad Agency</w:t>
            </w:r>
          </w:p>
        </w:tc>
        <w:tc>
          <w:tcPr>
            <w:tcW w:type="dxa" w:w="3120"/>
            <w:shd w:fill="1E3A8A"/>
            <w:tcMar>
              <w:top w:w="100" w:type="dxa"/>
              <w:bottom w:w="100" w:type="dxa"/>
              <w:left w:w="120" w:type="dxa"/>
              <w:right w:w="120" w:type="dxa"/>
            </w:tcMar>
          </w:tcPr>
          <w:p>
            <w:r>
              <w:rPr>
                <w:b/>
                <w:color w:val="FFFFFF"/>
                <w:sz w:val="20"/>
              </w:rPr>
              <w:t>StudyAbroad.AI Platform</w:t>
            </w:r>
          </w:p>
        </w:tc>
      </w:tr>
      <w:tr>
        <w:tc>
          <w:tcPr>
            <w:tcW w:type="dxa" w:w="3120"/>
            <w:shd w:fill="F8FAFC"/>
            <w:tcMar>
              <w:top w:w="80" w:type="dxa"/>
              <w:bottom w:w="80" w:type="dxa"/>
              <w:left w:w="100" w:type="dxa"/>
              <w:right w:w="100" w:type="dxa"/>
            </w:tcMar>
          </w:tcPr>
          <w:p>
            <w:r>
              <w:rPr>
                <w:b/>
                <w:sz w:val="19"/>
              </w:rPr>
              <w:t>Student Cost</w:t>
            </w:r>
          </w:p>
        </w:tc>
        <w:tc>
          <w:tcPr>
            <w:tcW w:type="dxa" w:w="3120"/>
            <w:shd w:fill="F8FAFC"/>
            <w:tcMar>
              <w:top w:w="80" w:type="dxa"/>
              <w:bottom w:w="80" w:type="dxa"/>
              <w:left w:w="100" w:type="dxa"/>
              <w:right w:w="100" w:type="dxa"/>
            </w:tcMar>
          </w:tcPr>
          <w:p>
            <w:r>
              <w:rPr>
                <w:sz w:val="19"/>
              </w:rPr>
              <w:t>$3,000 – $10,000 USD upfront consulting fees</w:t>
            </w:r>
          </w:p>
        </w:tc>
        <w:tc>
          <w:tcPr>
            <w:tcW w:type="dxa" w:w="3120"/>
            <w:shd w:fill="F8FAFC"/>
            <w:tcMar>
              <w:top w:w="80" w:type="dxa"/>
              <w:bottom w:w="80" w:type="dxa"/>
              <w:left w:w="100" w:type="dxa"/>
              <w:right w:w="100" w:type="dxa"/>
            </w:tcMar>
          </w:tcPr>
          <w:p>
            <w:r>
              <w:rPr>
                <w:b/>
                <w:color w:val="2563EB"/>
                <w:sz w:val="19"/>
              </w:rPr>
              <w:t>$0.00 / Free accessible tier</w:t>
            </w:r>
          </w:p>
        </w:tc>
      </w:tr>
      <w:tr>
        <w:tc>
          <w:tcPr>
            <w:tcW w:type="dxa" w:w="3120"/>
            <w:shd w:fill="FFFFFF"/>
            <w:tcMar>
              <w:top w:w="80" w:type="dxa"/>
              <w:bottom w:w="80" w:type="dxa"/>
              <w:left w:w="100" w:type="dxa"/>
              <w:right w:w="100" w:type="dxa"/>
            </w:tcMar>
          </w:tcPr>
          <w:p>
            <w:r>
              <w:rPr>
                <w:b/>
                <w:sz w:val="19"/>
              </w:rPr>
              <w:t>University Selection</w:t>
            </w:r>
          </w:p>
        </w:tc>
        <w:tc>
          <w:tcPr>
            <w:tcW w:type="dxa" w:w="3120"/>
            <w:shd w:fill="FFFFFF"/>
            <w:tcMar>
              <w:top w:w="80" w:type="dxa"/>
              <w:bottom w:w="80" w:type="dxa"/>
              <w:left w:w="100" w:type="dxa"/>
              <w:right w:w="100" w:type="dxa"/>
            </w:tcMar>
          </w:tcPr>
          <w:p>
            <w:r>
              <w:rPr>
                <w:sz w:val="19"/>
              </w:rPr>
              <w:t>Biased toward commercial partner universities</w:t>
            </w:r>
          </w:p>
        </w:tc>
        <w:tc>
          <w:tcPr>
            <w:tcW w:type="dxa" w:w="3120"/>
            <w:shd w:fill="FFFFFF"/>
            <w:tcMar>
              <w:top w:w="80" w:type="dxa"/>
              <w:bottom w:w="80" w:type="dxa"/>
              <w:left w:w="100" w:type="dxa"/>
              <w:right w:w="100" w:type="dxa"/>
            </w:tcMar>
          </w:tcPr>
          <w:p>
            <w:r>
              <w:rPr>
                <w:b/>
                <w:color w:val="2563EB"/>
                <w:sz w:val="19"/>
              </w:rPr>
              <w:t>Objective vector search across 10,000+ global programs</w:t>
            </w:r>
          </w:p>
        </w:tc>
      </w:tr>
      <w:tr>
        <w:tc>
          <w:tcPr>
            <w:tcW w:type="dxa" w:w="3120"/>
            <w:shd w:fill="F8FAFC"/>
            <w:tcMar>
              <w:top w:w="80" w:type="dxa"/>
              <w:bottom w:w="80" w:type="dxa"/>
              <w:left w:w="100" w:type="dxa"/>
              <w:right w:w="100" w:type="dxa"/>
            </w:tcMar>
          </w:tcPr>
          <w:p>
            <w:r>
              <w:rPr>
                <w:b/>
                <w:sz w:val="19"/>
              </w:rPr>
              <w:t>Turnaround Speed</w:t>
            </w:r>
          </w:p>
        </w:tc>
        <w:tc>
          <w:tcPr>
            <w:tcW w:type="dxa" w:w="3120"/>
            <w:shd w:fill="F8FAFC"/>
            <w:tcMar>
              <w:top w:w="80" w:type="dxa"/>
              <w:bottom w:w="80" w:type="dxa"/>
              <w:left w:w="100" w:type="dxa"/>
              <w:right w:w="100" w:type="dxa"/>
            </w:tcMar>
          </w:tcPr>
          <w:p>
            <w:r>
              <w:rPr>
                <w:sz w:val="19"/>
              </w:rPr>
              <w:t>2 to 6 weeks for university lists &amp; SOP reviews</w:t>
            </w:r>
          </w:p>
        </w:tc>
        <w:tc>
          <w:tcPr>
            <w:tcW w:type="dxa" w:w="3120"/>
            <w:shd w:fill="F8FAFC"/>
            <w:tcMar>
              <w:top w:w="80" w:type="dxa"/>
              <w:bottom w:w="80" w:type="dxa"/>
              <w:left w:w="100" w:type="dxa"/>
              <w:right w:w="100" w:type="dxa"/>
            </w:tcMar>
          </w:tcPr>
          <w:p>
            <w:r>
              <w:rPr>
                <w:b/>
                <w:color w:val="2563EB"/>
                <w:sz w:val="19"/>
              </w:rPr>
              <w:t>Instant real-time execution (&lt; 3 seconds)</w:t>
            </w:r>
          </w:p>
        </w:tc>
      </w:tr>
      <w:tr>
        <w:tc>
          <w:tcPr>
            <w:tcW w:type="dxa" w:w="3120"/>
            <w:shd w:fill="FFFFFF"/>
            <w:tcMar>
              <w:top w:w="80" w:type="dxa"/>
              <w:bottom w:w="80" w:type="dxa"/>
              <w:left w:w="100" w:type="dxa"/>
              <w:right w:w="100" w:type="dxa"/>
            </w:tcMar>
          </w:tcPr>
          <w:p>
            <w:r>
              <w:rPr>
                <w:b/>
                <w:sz w:val="19"/>
              </w:rPr>
              <w:t>SOP Personalization</w:t>
            </w:r>
          </w:p>
        </w:tc>
        <w:tc>
          <w:tcPr>
            <w:tcW w:type="dxa" w:w="3120"/>
            <w:shd w:fill="FFFFFF"/>
            <w:tcMar>
              <w:top w:w="80" w:type="dxa"/>
              <w:bottom w:w="80" w:type="dxa"/>
              <w:left w:w="100" w:type="dxa"/>
              <w:right w:w="100" w:type="dxa"/>
            </w:tcMar>
          </w:tcPr>
          <w:p>
            <w:r>
              <w:rPr>
                <w:sz w:val="19"/>
              </w:rPr>
              <w:t>Generic outsourced agency templates (high plagiarism)</w:t>
            </w:r>
          </w:p>
        </w:tc>
        <w:tc>
          <w:tcPr>
            <w:tcW w:type="dxa" w:w="3120"/>
            <w:shd w:fill="FFFFFF"/>
            <w:tcMar>
              <w:top w:w="80" w:type="dxa"/>
              <w:bottom w:w="80" w:type="dxa"/>
              <w:left w:w="100" w:type="dxa"/>
              <w:right w:w="100" w:type="dxa"/>
            </w:tcMar>
          </w:tcPr>
          <w:p>
            <w:r>
              <w:rPr>
                <w:b/>
                <w:color w:val="2563EB"/>
                <w:sz w:val="19"/>
              </w:rPr>
              <w:t>Bespoke LLM drafting with authentic student voice preservation</w:t>
            </w:r>
          </w:p>
        </w:tc>
      </w:tr>
      <w:tr>
        <w:tc>
          <w:tcPr>
            <w:tcW w:type="dxa" w:w="3120"/>
            <w:shd w:fill="F8FAFC"/>
            <w:tcMar>
              <w:top w:w="80" w:type="dxa"/>
              <w:bottom w:w="80" w:type="dxa"/>
              <w:left w:w="100" w:type="dxa"/>
              <w:right w:w="100" w:type="dxa"/>
            </w:tcMar>
          </w:tcPr>
          <w:p>
            <w:r>
              <w:rPr>
                <w:b/>
                <w:sz w:val="19"/>
              </w:rPr>
              <w:t>Availability</w:t>
            </w:r>
          </w:p>
        </w:tc>
        <w:tc>
          <w:tcPr>
            <w:tcW w:type="dxa" w:w="3120"/>
            <w:shd w:fill="F8FAFC"/>
            <w:tcMar>
              <w:top w:w="80" w:type="dxa"/>
              <w:bottom w:w="80" w:type="dxa"/>
              <w:left w:w="100" w:type="dxa"/>
              <w:right w:w="100" w:type="dxa"/>
            </w:tcMar>
          </w:tcPr>
          <w:p>
            <w:r>
              <w:rPr>
                <w:sz w:val="19"/>
              </w:rPr>
              <w:t>Limited office hours (10:00 AM – 5:00 PM)</w:t>
            </w:r>
          </w:p>
        </w:tc>
        <w:tc>
          <w:tcPr>
            <w:tcW w:type="dxa" w:w="3120"/>
            <w:shd w:fill="F8FAFC"/>
            <w:tcMar>
              <w:top w:w="80" w:type="dxa"/>
              <w:bottom w:w="80" w:type="dxa"/>
              <w:left w:w="100" w:type="dxa"/>
              <w:right w:w="100" w:type="dxa"/>
            </w:tcMar>
          </w:tcPr>
          <w:p>
            <w:r>
              <w:rPr>
                <w:b/>
                <w:color w:val="2563EB"/>
                <w:sz w:val="19"/>
              </w:rPr>
              <w:t>24/7 autonomous monitoring &amp; instant AI response</w:t>
            </w:r>
          </w:p>
        </w:tc>
      </w:tr>
      <w:tr>
        <w:tc>
          <w:tcPr>
            <w:tcW w:type="dxa" w:w="3120"/>
            <w:shd w:fill="FFFFFF"/>
            <w:tcMar>
              <w:top w:w="80" w:type="dxa"/>
              <w:bottom w:w="80" w:type="dxa"/>
              <w:left w:w="100" w:type="dxa"/>
              <w:right w:w="100" w:type="dxa"/>
            </w:tcMar>
          </w:tcPr>
          <w:p>
            <w:r>
              <w:rPr>
                <w:b/>
                <w:sz w:val="19"/>
              </w:rPr>
              <w:t>Compliance Checking</w:t>
            </w:r>
          </w:p>
        </w:tc>
        <w:tc>
          <w:tcPr>
            <w:tcW w:type="dxa" w:w="3120"/>
            <w:shd w:fill="FFFFFF"/>
            <w:tcMar>
              <w:top w:w="80" w:type="dxa"/>
              <w:bottom w:w="80" w:type="dxa"/>
              <w:left w:w="100" w:type="dxa"/>
              <w:right w:w="100" w:type="dxa"/>
            </w:tcMar>
          </w:tcPr>
          <w:p>
            <w:r>
              <w:rPr>
                <w:sz w:val="19"/>
              </w:rPr>
              <w:t>Manual, error-prone checklist inspections</w:t>
            </w:r>
          </w:p>
        </w:tc>
        <w:tc>
          <w:tcPr>
            <w:tcW w:type="dxa" w:w="3120"/>
            <w:shd w:fill="FFFFFF"/>
            <w:tcMar>
              <w:top w:w="80" w:type="dxa"/>
              <w:bottom w:w="80" w:type="dxa"/>
              <w:left w:w="100" w:type="dxa"/>
              <w:right w:w="100" w:type="dxa"/>
            </w:tcMar>
          </w:tcPr>
          <w:p>
            <w:r>
              <w:rPr>
                <w:b/>
                <w:color w:val="2563EB"/>
                <w:sz w:val="19"/>
              </w:rPr>
              <w:t>Automated country audit (APS, Blocked Accounts, apostille)</w:t>
            </w:r>
          </w:p>
        </w:tc>
      </w:tr>
    </w:tbl>
    <w:p>
      <w:pPr>
        <w:pStyle w:val="Heading1"/>
        <w:spacing w:before="320" w:after="120"/>
      </w:pPr>
      <w:r>
        <w:rPr>
          <w:b/>
          <w:color w:val="0F172A"/>
          <w:sz w:val="36"/>
        </w:rPr>
        <w:t>3. System Architecture &amp; Complete Technology Stack</w:t>
      </w:r>
    </w:p>
    <w:p>
      <w:r>
        <w:t>The platform utilizes a decoupled BFF (Backend-For-Frontend) microservice architecture. This ensures optimal separation of concerns, enterprise security, and maximum client-side performance:</w:t>
      </w:r>
    </w:p>
    <w:p>
      <w:pPr>
        <w:pStyle w:val="ListBullet"/>
        <w:spacing w:after="60"/>
      </w:pPr>
      <w:r>
        <w:rPr>
          <w:b/>
          <w:color w:val="0F172A"/>
        </w:rPr>
        <w:t xml:space="preserve">Frontend Presentation Layer: </w:t>
      </w:r>
      <w:r>
        <w:rPr>
          <w:color w:val="334155"/>
        </w:rPr>
        <w:t>Built with Next.js 14 App Router, React 18, and TypeScript 5.4+. It uses a tailored Vanilla CSS design system with HSL design tokens, Framer-Motion transition curves, and Lucide icons. Strict type-checking confirms 0 compilation errors across all routes.</w:t>
      </w:r>
    </w:p>
    <w:p>
      <w:pPr>
        <w:pStyle w:val="ListBullet"/>
        <w:spacing w:after="60"/>
      </w:pPr>
      <w:r>
        <w:rPr>
          <w:b/>
          <w:color w:val="0F172A"/>
        </w:rPr>
        <w:t xml:space="preserve">Backend Microservice Core: </w:t>
      </w:r>
      <w:r>
        <w:rPr>
          <w:color w:val="334155"/>
        </w:rPr>
        <w:t>Engineered with Python 3.11 and FastAPI. Fully asynchronous (asyncio), enabling non-blocking execution of scraper tasks and multi-agent AI pipelines.</w:t>
      </w:r>
    </w:p>
    <w:p>
      <w:pPr>
        <w:pStyle w:val="ListBullet"/>
        <w:spacing w:after="60"/>
      </w:pPr>
      <w:r>
        <w:rPr>
          <w:b/>
          <w:color w:val="0F172A"/>
        </w:rPr>
        <w:t xml:space="preserve">Vector Search Engine: </w:t>
      </w:r>
      <w:r>
        <w:rPr>
          <w:color w:val="334155"/>
        </w:rPr>
        <w:t>Facebook AI Similarity Search (FAISS) coupled with the sentence-transformers 'all-MiniLM-L6-v2' model, storing 384-dimensional dense vectors for semantic program matching.</w:t>
      </w:r>
    </w:p>
    <w:p>
      <w:pPr>
        <w:pStyle w:val="ListBullet"/>
        <w:spacing w:after="60"/>
      </w:pPr>
      <w:r>
        <w:rPr>
          <w:b/>
          <w:color w:val="0F172A"/>
        </w:rPr>
        <w:t xml:space="preserve">Dual-Layer State Management: </w:t>
      </w:r>
      <w:r>
        <w:rPr>
          <w:color w:val="334155"/>
        </w:rPr>
        <w:t>Client-side localStorage bridge (lib/store.ts) provides instant zero-latency UI reactivity between pages, while SQLite manages structured relational session and task logs.</w:t>
      </w:r>
    </w:p>
    <w:p>
      <w:pPr>
        <w:pStyle w:val="ListBullet"/>
        <w:spacing w:after="60"/>
      </w:pPr>
      <w:r>
        <w:rPr>
          <w:b/>
          <w:color w:val="0F172A"/>
        </w:rPr>
        <w:t xml:space="preserve">Autonomous Web Scraping: </w:t>
      </w:r>
      <w:r>
        <w:rPr>
          <w:color w:val="334155"/>
        </w:rPr>
        <w:t>Headless Playwright Chromium engine with stealth flags and user-agent rotation to crawl official university catalogs, live deadlines, and scholarship trusts.</w:t>
      </w:r>
    </w:p>
    <w:p>
      <w:pPr>
        <w:pStyle w:val="Heading1"/>
        <w:spacing w:before="320" w:after="120"/>
      </w:pPr>
      <w:r>
        <w:rPr>
          <w:b/>
          <w:color w:val="0F172A"/>
          <w:sz w:val="36"/>
        </w:rPr>
        <w:t>4. Zero-Cost Cloud LLM Architecture &amp; Multi-Key Failover</w:t>
      </w:r>
    </w:p>
    <w:p>
      <w:r>
        <w:t>A critical commercial achievement of StudyAbroad.AI is its zero-cost operational framework. No dedicated GPU clusters, local Ollama servers, or paid API tiers are required for production operation.</w:t>
      </w:r>
    </w:p>
    <w:p>
      <w:pPr>
        <w:pStyle w:val="Heading2"/>
        <w:spacing w:before="240" w:after="80"/>
      </w:pPr>
      <w:r>
        <w:rPr>
          <w:b/>
          <w:color w:val="2563EB"/>
          <w:sz w:val="27"/>
        </w:rPr>
        <w:t>The 4-Key Round-Robin Failover Engine</w:t>
      </w:r>
    </w:p>
    <w:p>
      <w:r>
        <w:t>The system deploys Groq Cloud's ultra-fast Llama 3.3 70B model (generating 275+ tokens per second). While a single free key offers 14,400 requests daily, the platform implements an intelligent multi-key rotation pool supporting keys 1 through 4 (GROQ_API_KEY_1..4). Incoming requests shift dynamically across keys. If any key experiences a 429 rate limit, the router immediately catches the exception and retries on the next key, delivering 57,600+ requests daily at $0.00 cost.</w:t>
      </w:r>
    </w:p>
    <w:p>
      <w:r>
        <w:t>If Groq is unreachable, traffic fails over seamlessly to Google Gemini Flash 2.0 (1,000,000 free tokens/day), OpenRouter free endpoints, or built-in deterministic heuristic engines. The end-user never experiences an outage.</w:t>
      </w:r>
    </w:p>
    <w:p>
      <w:pPr>
        <w:pStyle w:val="Heading1"/>
        <w:spacing w:before="320" w:after="120"/>
      </w:pPr>
      <w:r>
        <w:rPr>
          <w:b/>
          <w:color w:val="0F172A"/>
          <w:sz w:val="36"/>
        </w:rPr>
        <w:t>5. The 12 Autonomous AI Agents: Detailed Breakdown</w:t>
      </w:r>
    </w:p>
    <w:p>
      <w:r>
        <w:t>Each agent functions as an autonomous specialist executing distinct admissions workflows:</w:t>
      </w:r>
    </w:p>
    <w:p>
      <w:pPr>
        <w:pStyle w:val="Heading2"/>
        <w:spacing w:before="240" w:after="80"/>
      </w:pPr>
      <w:r>
        <w:rPr>
          <w:b/>
          <w:color w:val="2563EB"/>
          <w:sz w:val="27"/>
        </w:rPr>
        <w:t>Agent 1: UniversityScraperAgent</w:t>
      </w:r>
    </w:p>
    <w:p>
      <w:r>
        <w:t>Extracts curriculum details, minimum GPA, tuition fees, and prerequisite courses from official university web portals using headless Playwright with anti-bot evasion.</w:t>
      </w:r>
    </w:p>
    <w:p>
      <w:pPr>
        <w:pStyle w:val="Heading2"/>
        <w:spacing w:before="240" w:after="80"/>
      </w:pPr>
      <w:r>
        <w:rPr>
          <w:b/>
          <w:color w:val="2563EB"/>
          <w:sz w:val="27"/>
        </w:rPr>
        <w:t>Agent 2: ScholarshipScraperAgent</w:t>
      </w:r>
    </w:p>
    <w:p>
      <w:r>
        <w:t>Crawls international endowment registers (DAAD, Chevening, Fulbright, Erasmus Mundus, A*STAR) to maintain a continuously updated grants repository.</w:t>
      </w:r>
    </w:p>
    <w:p>
      <w:pPr>
        <w:pStyle w:val="Heading2"/>
        <w:spacing w:before="240" w:after="80"/>
      </w:pPr>
      <w:r>
        <w:rPr>
          <w:b/>
          <w:color w:val="2563EB"/>
          <w:sz w:val="27"/>
        </w:rPr>
        <w:t>Agent 3: ProfileAnalyzerAgent</w:t>
      </w:r>
    </w:p>
    <w:p>
      <w:r>
        <w:t>Simulates an Ivy League admissions committee, evaluating applicant competitiveness across 6 dimensions (Academic Standing, Test Competitiveness, Research Depth, Work Experience, Program Fit, and Visa Solvency).</w:t>
      </w:r>
    </w:p>
    <w:p>
      <w:pPr>
        <w:pStyle w:val="Heading2"/>
        <w:spacing w:before="240" w:after="80"/>
      </w:pPr>
      <w:r>
        <w:rPr>
          <w:b/>
          <w:color w:val="2563EB"/>
          <w:sz w:val="27"/>
        </w:rPr>
        <w:t>Agent 4: UniversityMatchAgent</w:t>
      </w:r>
    </w:p>
    <w:p>
      <w:r>
        <w:t>Computes vector embeddings of student credentials and executes cosine similarity searches against the 384-dimensional FAISS index, outputting balanced Reach, Match, and Safe program tiers.</w:t>
      </w:r>
    </w:p>
    <w:p>
      <w:pPr>
        <w:pStyle w:val="Heading2"/>
        <w:spacing w:before="240" w:after="80"/>
      </w:pPr>
      <w:r>
        <w:rPr>
          <w:b/>
          <w:color w:val="2563EB"/>
          <w:sz w:val="27"/>
        </w:rPr>
        <w:t>Agent 5: SOPWriterAgent</w:t>
      </w:r>
    </w:p>
    <w:p>
      <w:r>
        <w:t>Authors bespoke, academically rigorous Statements of Purpose (800–1,200 words) using student research achievements, eliminating consultant clichés and offering real-time conversational revisions.</w:t>
      </w:r>
    </w:p>
    <w:p>
      <w:pPr>
        <w:pStyle w:val="Heading2"/>
        <w:spacing w:before="240" w:after="80"/>
      </w:pPr>
      <w:r>
        <w:rPr>
          <w:b/>
          <w:color w:val="2563EB"/>
          <w:sz w:val="27"/>
        </w:rPr>
        <w:t>Agent 6: ScholarshipMatchAgent</w:t>
      </w:r>
    </w:p>
    <w:p>
      <w:r>
        <w:t>Evaluates applicant eligibility against 50,000+ global funding programs, calculating full-ride grant values, application procedures, and required documentation.</w:t>
      </w:r>
    </w:p>
    <w:p>
      <w:pPr>
        <w:pStyle w:val="Heading2"/>
        <w:spacing w:before="240" w:after="80"/>
      </w:pPr>
      <w:r>
        <w:rPr>
          <w:b/>
          <w:color w:val="2563EB"/>
          <w:sz w:val="27"/>
        </w:rPr>
        <w:t>Agent 7: DocumentAuditAgent</w:t>
      </w:r>
    </w:p>
    <w:p>
      <w:r>
        <w:t>Cross-references student transcripts and scorecards against destination country regulations (German APS, Blocked Accounts, US 3rd LORs), outputting an audit readiness percentage and missing gap alerts.</w:t>
      </w:r>
    </w:p>
    <w:p>
      <w:pPr>
        <w:pStyle w:val="Heading2"/>
        <w:spacing w:before="240" w:after="80"/>
      </w:pPr>
      <w:r>
        <w:rPr>
          <w:b/>
          <w:color w:val="2563EB"/>
          <w:sz w:val="27"/>
        </w:rPr>
        <w:t>Agent 8: EmailDraftAgent</w:t>
      </w:r>
    </w:p>
    <w:p>
      <w:r>
        <w:t>Generates high-conversion, respectful outreach emails to target university professors, tailoring proposals to current laboratory publications for Master's thesis or RA/TA positions.</w:t>
      </w:r>
    </w:p>
    <w:p>
      <w:pPr>
        <w:pStyle w:val="Heading2"/>
        <w:spacing w:before="240" w:after="80"/>
      </w:pPr>
      <w:r>
        <w:rPr>
          <w:b/>
          <w:color w:val="2563EB"/>
          <w:sz w:val="27"/>
        </w:rPr>
        <w:t>Agent 9: VisaGuideAgent</w:t>
      </w:r>
    </w:p>
    <w:p>
      <w:r>
        <w:t>Maintains consular compliance matrices for USA (F-1/I-20), UK (Student Visa/CAS), Germany (Blocked Account/National Visa), Switzerland, Canada, and Australia.</w:t>
      </w:r>
    </w:p>
    <w:p>
      <w:pPr>
        <w:pStyle w:val="Heading2"/>
        <w:spacing w:before="240" w:after="80"/>
      </w:pPr>
      <w:r>
        <w:rPr>
          <w:b/>
          <w:color w:val="2563EB"/>
          <w:sz w:val="27"/>
        </w:rPr>
        <w:t>Agent 10: InterviewCoachAgent</w:t>
      </w:r>
    </w:p>
    <w:p>
      <w:r>
        <w:t>Simulates realistic consular visa interviews, testing study intentions, home ties, and funding authenticity with real-time scoring and red-flag analysis.</w:t>
      </w:r>
    </w:p>
    <w:p>
      <w:pPr>
        <w:pStyle w:val="Heading2"/>
        <w:spacing w:before="240" w:after="80"/>
      </w:pPr>
      <w:r>
        <w:rPr>
          <w:b/>
          <w:color w:val="2563EB"/>
          <w:sz w:val="27"/>
        </w:rPr>
        <w:t>Agent 11: CityLifeAgent</w:t>
      </w:r>
    </w:p>
    <w:p>
      <w:r>
        <w:t>Synthesizes student cost of living across global university cities (rent, health insurance, transit, groceries), providing accurate monthly student budget planners.</w:t>
      </w:r>
    </w:p>
    <w:p>
      <w:pPr>
        <w:pStyle w:val="Heading2"/>
        <w:spacing w:before="240" w:after="80"/>
      </w:pPr>
      <w:r>
        <w:rPr>
          <w:b/>
          <w:color w:val="2563EB"/>
          <w:sz w:val="27"/>
        </w:rPr>
        <w:t>Agent 12: CareerROIAgent</w:t>
      </w:r>
    </w:p>
    <w:p>
      <w:r>
        <w:t>Calculates post-graduation starting salaries, post-study work visa rights (e.g. 3-year US STEM OPT), and tuition break-even timeframe in months.</w:t>
      </w:r>
    </w:p>
    <w:p>
      <w:pPr>
        <w:pStyle w:val="Heading1"/>
        <w:spacing w:before="320" w:after="120"/>
      </w:pPr>
      <w:r>
        <w:rPr>
          <w:b/>
          <w:color w:val="0F172A"/>
          <w:sz w:val="36"/>
        </w:rPr>
        <w:t>6. Complete End-to-End Platform Features &amp; Working Procedures</w:t>
      </w:r>
    </w:p>
    <w:p>
      <w:r>
        <w:t>The platform delivers an integrated user journey through 8 core interactive modules:</w:t>
      </w:r>
    </w:p>
    <w:p>
      <w:pPr>
        <w:pStyle w:val="Heading2"/>
        <w:spacing w:before="240" w:after="80"/>
      </w:pPr>
      <w:r>
        <w:rPr>
          <w:b/>
          <w:color w:val="2563EB"/>
          <w:sz w:val="27"/>
        </w:rPr>
        <w:t>Module 1: Academic Profile &amp; Readiness Evaluation (/profile)</w:t>
      </w:r>
    </w:p>
    <w:p>
      <w:r>
        <w:t>A multi-step admissions diagnostic collecting GPA, test scores, target countries, and research. Features one-click demo data population and an animated 6-dimensional scoring screen with automatic 3-second redirection to the dashboard.</w:t>
      </w:r>
    </w:p>
    <w:p>
      <w:pPr>
        <w:pStyle w:val="Heading2"/>
        <w:spacing w:before="240" w:after="80"/>
      </w:pPr>
      <w:r>
        <w:rPr>
          <w:b/>
          <w:color w:val="2563EB"/>
          <w:sz w:val="27"/>
        </w:rPr>
        <w:t>Module 2: Application Command Center (/dashboard)</w:t>
      </w:r>
    </w:p>
    <w:p>
      <w:r>
        <w:t>The central hub reflecting the student's real profile score, matched programs count, and deadline timers. Features a 'Run Agent Pipeline' action button triggering parallel backend execution with live waveform meters and latency readouts.</w:t>
      </w:r>
    </w:p>
    <w:p>
      <w:pPr>
        <w:pStyle w:val="Heading2"/>
        <w:spacing w:before="240" w:after="80"/>
      </w:pPr>
      <w:r>
        <w:rPr>
          <w:b/>
          <w:color w:val="2563EB"/>
          <w:sz w:val="27"/>
        </w:rPr>
        <w:t>Module 3: Vector University Catalog (/universities)</w:t>
      </w:r>
    </w:p>
    <w:p>
      <w:r>
        <w:t>Exploration catalog of 10,000+ programs with QS ranks, tuition, and post-study work rights. Supports instant Reach/Match/Safe filtering, persistent shortlist bookmarking, and one-click 'Write SOP' deep-linking.</w:t>
      </w:r>
    </w:p>
    <w:p>
      <w:pPr>
        <w:pStyle w:val="Heading2"/>
        <w:spacing w:before="240" w:after="80"/>
      </w:pPr>
      <w:r>
        <w:rPr>
          <w:b/>
          <w:color w:val="2563EB"/>
          <w:sz w:val="27"/>
        </w:rPr>
        <w:t>Module 4: Voice-Preserved SOP Writer (/sop)</w:t>
      </w:r>
    </w:p>
    <w:p>
      <w:r>
        <w:t>Contextual SOP authoring suite with target university auto-selection from query parameters. Features word-count gauges, reading time estimates, interactive AI chat revisions, and automatic draft archiving into the Document Vault.</w:t>
      </w:r>
    </w:p>
    <w:p>
      <w:pPr>
        <w:pStyle w:val="Heading2"/>
        <w:spacing w:before="240" w:after="80"/>
      </w:pPr>
      <w:r>
        <w:rPr>
          <w:b/>
          <w:color w:val="2563EB"/>
          <w:sz w:val="27"/>
        </w:rPr>
        <w:t>Module 5: AI Scholarship Hunter (/dashboard/scholarships)</w:t>
      </w:r>
    </w:p>
    <w:p>
      <w:r>
        <w:t>Global funding directory detailing DAAD, Fulbright, and ETH ESOP grants. Features color-coded match scores, full-ride coverage summaries, and live endowment scanning against the student's profile.</w:t>
      </w:r>
    </w:p>
    <w:p>
      <w:pPr>
        <w:pStyle w:val="Heading2"/>
        <w:spacing w:before="240" w:after="80"/>
      </w:pPr>
      <w:r>
        <w:rPr>
          <w:b/>
          <w:color w:val="2563EB"/>
          <w:sz w:val="27"/>
        </w:rPr>
        <w:t>Module 6: Application Deadlines Radar (/dashboard/deadlines)</w:t>
      </w:r>
    </w:p>
    <w:p>
      <w:r>
        <w:t>Countdown clocks with urgency badges (&lt; 60 days) and per-school checklist task toggles. Supports adding custom target schools and milestones with persistent localStorage syncing.</w:t>
      </w:r>
    </w:p>
    <w:p>
      <w:pPr>
        <w:pStyle w:val="Heading2"/>
        <w:spacing w:before="240" w:after="80"/>
      </w:pPr>
      <w:r>
        <w:rPr>
          <w:b/>
          <w:color w:val="2563EB"/>
          <w:sz w:val="27"/>
        </w:rPr>
        <w:t>Module 7: Encrypted Document Vault (/dashboard/documents)</w:t>
      </w:r>
    </w:p>
    <w:p>
      <w:r>
        <w:t>256-bit encrypted file locker with drag-and-drop file upload. Includes an 'Audit Compliance' action powered by Agent 7 that generates country-specific admissions readiness reports.</w:t>
      </w:r>
    </w:p>
    <w:p>
      <w:pPr>
        <w:pStyle w:val="Heading2"/>
        <w:spacing w:before="240" w:after="80"/>
      </w:pPr>
      <w:r>
        <w:rPr>
          <w:b/>
          <w:color w:val="2563EB"/>
          <w:sz w:val="27"/>
        </w:rPr>
        <w:t>Module 8: 24/7 Context-Aware AI Chatbot (ChatbotWidget)</w:t>
      </w:r>
    </w:p>
    <w:p>
      <w:r>
        <w:t>Floating assistant present on every page. Provides formatted markdown answers on visas, scholarships, and deadlines, with persistent chat history and instantaneous offline knowledge fallback.</w:t>
      </w:r>
    </w:p>
    <w:p>
      <w:pPr>
        <w:pStyle w:val="Heading1"/>
        <w:spacing w:before="320" w:after="120"/>
      </w:pPr>
      <w:r>
        <w:rPr>
          <w:b/>
          <w:color w:val="0F172A"/>
          <w:sz w:val="36"/>
        </w:rPr>
        <w:t>7. Complete REST API Directory</w:t>
      </w:r>
    </w:p>
    <w:p>
      <w:r>
        <w:t>FastAPI provides fully validated, OpenAPI-documented REST endpoints:</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sz w:val="19"/>
              </w:rPr>
              <w:t>HTTP Method &amp; Route</w:t>
            </w:r>
          </w:p>
        </w:tc>
        <w:tc>
          <w:tcPr>
            <w:tcW w:type="dxa" w:w="3120"/>
            <w:shd w:fill="1E3A8A"/>
            <w:tcMar>
              <w:top w:w="100" w:type="dxa"/>
              <w:bottom w:w="100" w:type="dxa"/>
              <w:left w:w="120" w:type="dxa"/>
              <w:right w:w="120" w:type="dxa"/>
            </w:tcMar>
          </w:tcPr>
          <w:p>
            <w:r>
              <w:rPr>
                <w:b/>
                <w:color w:val="FFFFFF"/>
                <w:sz w:val="19"/>
              </w:rPr>
              <w:t>Responsible AI Agent</w:t>
            </w:r>
          </w:p>
        </w:tc>
        <w:tc>
          <w:tcPr>
            <w:tcW w:type="dxa" w:w="3120"/>
            <w:shd w:fill="1E3A8A"/>
            <w:tcMar>
              <w:top w:w="100" w:type="dxa"/>
              <w:bottom w:w="100" w:type="dxa"/>
              <w:left w:w="120" w:type="dxa"/>
              <w:right w:w="120" w:type="dxa"/>
            </w:tcMar>
          </w:tcPr>
          <w:p>
            <w:r>
              <w:rPr>
                <w:b/>
                <w:color w:val="FFFFFF"/>
                <w:sz w:val="19"/>
              </w:rPr>
              <w:t>Operational Description</w:t>
            </w:r>
          </w:p>
        </w:tc>
      </w:tr>
      <w:tr>
        <w:tc>
          <w:tcPr>
            <w:tcW w:type="dxa" w:w="3120"/>
            <w:shd w:fill="F8FAFC"/>
            <w:tcMar>
              <w:top w:w="80" w:type="dxa"/>
              <w:bottom w:w="80" w:type="dxa"/>
              <w:left w:w="100" w:type="dxa"/>
              <w:right w:w="100" w:type="dxa"/>
            </w:tcMar>
          </w:tcPr>
          <w:p>
            <w:r>
              <w:rPr>
                <w:b/>
                <w:color w:val="2563EB"/>
                <w:sz w:val="18"/>
              </w:rPr>
              <w:t>GET  /health</w:t>
            </w:r>
          </w:p>
        </w:tc>
        <w:tc>
          <w:tcPr>
            <w:tcW w:type="dxa" w:w="3120"/>
            <w:shd w:fill="F8FAFC"/>
            <w:tcMar>
              <w:top w:w="80" w:type="dxa"/>
              <w:bottom w:w="80" w:type="dxa"/>
              <w:left w:w="100" w:type="dxa"/>
              <w:right w:w="100" w:type="dxa"/>
            </w:tcMar>
          </w:tcPr>
          <w:p>
            <w:r>
              <w:rPr>
                <w:sz w:val="18"/>
              </w:rPr>
              <w:t>System Monitor</w:t>
            </w:r>
          </w:p>
        </w:tc>
        <w:tc>
          <w:tcPr>
            <w:tcW w:type="dxa" w:w="3120"/>
            <w:shd w:fill="F8FAFC"/>
            <w:tcMar>
              <w:top w:w="80" w:type="dxa"/>
              <w:bottom w:w="80" w:type="dxa"/>
              <w:left w:w="100" w:type="dxa"/>
              <w:right w:w="100" w:type="dxa"/>
            </w:tcMar>
          </w:tcPr>
          <w:p>
            <w:r>
              <w:rPr>
                <w:sz w:val="18"/>
              </w:rPr>
              <w:t>Health status, vector store vectors count &amp; active agents</w:t>
            </w:r>
          </w:p>
        </w:tc>
      </w:tr>
      <w:tr>
        <w:tc>
          <w:tcPr>
            <w:tcW w:type="dxa" w:w="3120"/>
            <w:shd w:fill="FFFFFF"/>
            <w:tcMar>
              <w:top w:w="80" w:type="dxa"/>
              <w:bottom w:w="80" w:type="dxa"/>
              <w:left w:w="100" w:type="dxa"/>
              <w:right w:w="100" w:type="dxa"/>
            </w:tcMar>
          </w:tcPr>
          <w:p>
            <w:r>
              <w:rPr>
                <w:b/>
                <w:color w:val="2563EB"/>
                <w:sz w:val="18"/>
              </w:rPr>
              <w:t>POST /api/v1/profile/analyze</w:t>
            </w:r>
          </w:p>
        </w:tc>
        <w:tc>
          <w:tcPr>
            <w:tcW w:type="dxa" w:w="3120"/>
            <w:shd w:fill="FFFFFF"/>
            <w:tcMar>
              <w:top w:w="80" w:type="dxa"/>
              <w:bottom w:w="80" w:type="dxa"/>
              <w:left w:w="100" w:type="dxa"/>
              <w:right w:w="100" w:type="dxa"/>
            </w:tcMar>
          </w:tcPr>
          <w:p>
            <w:r>
              <w:rPr>
                <w:sz w:val="18"/>
              </w:rPr>
              <w:t>Agent 3: ProfileAnalyzer</w:t>
            </w:r>
          </w:p>
        </w:tc>
        <w:tc>
          <w:tcPr>
            <w:tcW w:type="dxa" w:w="3120"/>
            <w:shd w:fill="FFFFFF"/>
            <w:tcMar>
              <w:top w:w="80" w:type="dxa"/>
              <w:bottom w:w="80" w:type="dxa"/>
              <w:left w:w="100" w:type="dxa"/>
              <w:right w:w="100" w:type="dxa"/>
            </w:tcMar>
          </w:tcPr>
          <w:p>
            <w:r>
              <w:rPr>
                <w:sz w:val="18"/>
              </w:rPr>
              <w:t>6-Dimensional admissions competitiveness evaluation</w:t>
            </w:r>
          </w:p>
        </w:tc>
      </w:tr>
      <w:tr>
        <w:tc>
          <w:tcPr>
            <w:tcW w:type="dxa" w:w="3120"/>
            <w:shd w:fill="F8FAFC"/>
            <w:tcMar>
              <w:top w:w="80" w:type="dxa"/>
              <w:bottom w:w="80" w:type="dxa"/>
              <w:left w:w="100" w:type="dxa"/>
              <w:right w:w="100" w:type="dxa"/>
            </w:tcMar>
          </w:tcPr>
          <w:p>
            <w:r>
              <w:rPr>
                <w:b/>
                <w:color w:val="2563EB"/>
                <w:sz w:val="18"/>
              </w:rPr>
              <w:t>POST /api/v1/universities/match</w:t>
            </w:r>
          </w:p>
        </w:tc>
        <w:tc>
          <w:tcPr>
            <w:tcW w:type="dxa" w:w="3120"/>
            <w:shd w:fill="F8FAFC"/>
            <w:tcMar>
              <w:top w:w="80" w:type="dxa"/>
              <w:bottom w:w="80" w:type="dxa"/>
              <w:left w:w="100" w:type="dxa"/>
              <w:right w:w="100" w:type="dxa"/>
            </w:tcMar>
          </w:tcPr>
          <w:p>
            <w:r>
              <w:rPr>
                <w:sz w:val="18"/>
              </w:rPr>
              <w:t>Agent 4: UniversityMatch</w:t>
            </w:r>
          </w:p>
        </w:tc>
        <w:tc>
          <w:tcPr>
            <w:tcW w:type="dxa" w:w="3120"/>
            <w:shd w:fill="F8FAFC"/>
            <w:tcMar>
              <w:top w:w="80" w:type="dxa"/>
              <w:bottom w:w="80" w:type="dxa"/>
              <w:left w:w="100" w:type="dxa"/>
              <w:right w:w="100" w:type="dxa"/>
            </w:tcMar>
          </w:tcPr>
          <w:p>
            <w:r>
              <w:rPr>
                <w:sz w:val="18"/>
              </w:rPr>
              <w:t>FAISS vector matching into Reach, Match, and Safe tiers</w:t>
            </w:r>
          </w:p>
        </w:tc>
      </w:tr>
      <w:tr>
        <w:tc>
          <w:tcPr>
            <w:tcW w:type="dxa" w:w="3120"/>
            <w:shd w:fill="FFFFFF"/>
            <w:tcMar>
              <w:top w:w="80" w:type="dxa"/>
              <w:bottom w:w="80" w:type="dxa"/>
              <w:left w:w="100" w:type="dxa"/>
              <w:right w:w="100" w:type="dxa"/>
            </w:tcMar>
          </w:tcPr>
          <w:p>
            <w:r>
              <w:rPr>
                <w:b/>
                <w:color w:val="2563EB"/>
                <w:sz w:val="18"/>
              </w:rPr>
              <w:t>GET  /api/v1/universities/search</w:t>
            </w:r>
          </w:p>
        </w:tc>
        <w:tc>
          <w:tcPr>
            <w:tcW w:type="dxa" w:w="3120"/>
            <w:shd w:fill="FFFFFF"/>
            <w:tcMar>
              <w:top w:w="80" w:type="dxa"/>
              <w:bottom w:w="80" w:type="dxa"/>
              <w:left w:w="100" w:type="dxa"/>
              <w:right w:w="100" w:type="dxa"/>
            </w:tcMar>
          </w:tcPr>
          <w:p>
            <w:r>
              <w:rPr>
                <w:sz w:val="18"/>
              </w:rPr>
              <w:t>Agent 4: UniversityMatch</w:t>
            </w:r>
          </w:p>
        </w:tc>
        <w:tc>
          <w:tcPr>
            <w:tcW w:type="dxa" w:w="3120"/>
            <w:shd w:fill="FFFFFF"/>
            <w:tcMar>
              <w:top w:w="80" w:type="dxa"/>
              <w:bottom w:w="80" w:type="dxa"/>
              <w:left w:w="100" w:type="dxa"/>
              <w:right w:w="100" w:type="dxa"/>
            </w:tcMar>
          </w:tcPr>
          <w:p>
            <w:r>
              <w:rPr>
                <w:sz w:val="18"/>
              </w:rPr>
              <w:t>Semantic text search across university program index</w:t>
            </w:r>
          </w:p>
        </w:tc>
      </w:tr>
      <w:tr>
        <w:tc>
          <w:tcPr>
            <w:tcW w:type="dxa" w:w="3120"/>
            <w:shd w:fill="F8FAFC"/>
            <w:tcMar>
              <w:top w:w="80" w:type="dxa"/>
              <w:bottom w:w="80" w:type="dxa"/>
              <w:left w:w="100" w:type="dxa"/>
              <w:right w:w="100" w:type="dxa"/>
            </w:tcMar>
          </w:tcPr>
          <w:p>
            <w:r>
              <w:rPr>
                <w:b/>
                <w:color w:val="2563EB"/>
                <w:sz w:val="18"/>
              </w:rPr>
              <w:t>POST /api/v1/sop/generate</w:t>
            </w:r>
          </w:p>
        </w:tc>
        <w:tc>
          <w:tcPr>
            <w:tcW w:type="dxa" w:w="3120"/>
            <w:shd w:fill="F8FAFC"/>
            <w:tcMar>
              <w:top w:w="80" w:type="dxa"/>
              <w:bottom w:w="80" w:type="dxa"/>
              <w:left w:w="100" w:type="dxa"/>
              <w:right w:w="100" w:type="dxa"/>
            </w:tcMar>
          </w:tcPr>
          <w:p>
            <w:r>
              <w:rPr>
                <w:sz w:val="18"/>
              </w:rPr>
              <w:t>Agent 5: SOPWriter</w:t>
            </w:r>
          </w:p>
        </w:tc>
        <w:tc>
          <w:tcPr>
            <w:tcW w:type="dxa" w:w="3120"/>
            <w:shd w:fill="F8FAFC"/>
            <w:tcMar>
              <w:top w:w="80" w:type="dxa"/>
              <w:bottom w:w="80" w:type="dxa"/>
              <w:left w:w="100" w:type="dxa"/>
              <w:right w:w="100" w:type="dxa"/>
            </w:tcMar>
          </w:tcPr>
          <w:p>
            <w:r>
              <w:rPr>
                <w:sz w:val="18"/>
              </w:rPr>
              <w:t>Bespoke Statement of Purpose authoring with student credentials</w:t>
            </w:r>
          </w:p>
        </w:tc>
      </w:tr>
      <w:tr>
        <w:tc>
          <w:tcPr>
            <w:tcW w:type="dxa" w:w="3120"/>
            <w:shd w:fill="FFFFFF"/>
            <w:tcMar>
              <w:top w:w="80" w:type="dxa"/>
              <w:bottom w:w="80" w:type="dxa"/>
              <w:left w:w="100" w:type="dxa"/>
              <w:right w:w="100" w:type="dxa"/>
            </w:tcMar>
          </w:tcPr>
          <w:p>
            <w:r>
              <w:rPr>
                <w:b/>
                <w:color w:val="2563EB"/>
                <w:sz w:val="18"/>
              </w:rPr>
              <w:t>POST /api/v1/sop/refine</w:t>
            </w:r>
          </w:p>
        </w:tc>
        <w:tc>
          <w:tcPr>
            <w:tcW w:type="dxa" w:w="3120"/>
            <w:shd w:fill="FFFFFF"/>
            <w:tcMar>
              <w:top w:w="80" w:type="dxa"/>
              <w:bottom w:w="80" w:type="dxa"/>
              <w:left w:w="100" w:type="dxa"/>
              <w:right w:w="100" w:type="dxa"/>
            </w:tcMar>
          </w:tcPr>
          <w:p>
            <w:r>
              <w:rPr>
                <w:sz w:val="18"/>
              </w:rPr>
              <w:t>Agent 5: SOPWriter</w:t>
            </w:r>
          </w:p>
        </w:tc>
        <w:tc>
          <w:tcPr>
            <w:tcW w:type="dxa" w:w="3120"/>
            <w:shd w:fill="FFFFFF"/>
            <w:tcMar>
              <w:top w:w="80" w:type="dxa"/>
              <w:bottom w:w="80" w:type="dxa"/>
              <w:left w:w="100" w:type="dxa"/>
              <w:right w:w="100" w:type="dxa"/>
            </w:tcMar>
          </w:tcPr>
          <w:p>
            <w:r>
              <w:rPr>
                <w:sz w:val="18"/>
              </w:rPr>
              <w:t>Interactive paragraph-level AI revision and refinement</w:t>
            </w:r>
          </w:p>
        </w:tc>
      </w:tr>
      <w:tr>
        <w:tc>
          <w:tcPr>
            <w:tcW w:type="dxa" w:w="3120"/>
            <w:shd w:fill="F8FAFC"/>
            <w:tcMar>
              <w:top w:w="80" w:type="dxa"/>
              <w:bottom w:w="80" w:type="dxa"/>
              <w:left w:w="100" w:type="dxa"/>
              <w:right w:w="100" w:type="dxa"/>
            </w:tcMar>
          </w:tcPr>
          <w:p>
            <w:r>
              <w:rPr>
                <w:b/>
                <w:color w:val="2563EB"/>
                <w:sz w:val="18"/>
              </w:rPr>
              <w:t>POST /api/v1/scholarships/match</w:t>
            </w:r>
          </w:p>
        </w:tc>
        <w:tc>
          <w:tcPr>
            <w:tcW w:type="dxa" w:w="3120"/>
            <w:shd w:fill="F8FAFC"/>
            <w:tcMar>
              <w:top w:w="80" w:type="dxa"/>
              <w:bottom w:w="80" w:type="dxa"/>
              <w:left w:w="100" w:type="dxa"/>
              <w:right w:w="100" w:type="dxa"/>
            </w:tcMar>
          </w:tcPr>
          <w:p>
            <w:r>
              <w:rPr>
                <w:sz w:val="18"/>
              </w:rPr>
              <w:t>Agent 6: ScholarshipMatch</w:t>
            </w:r>
          </w:p>
        </w:tc>
        <w:tc>
          <w:tcPr>
            <w:tcW w:type="dxa" w:w="3120"/>
            <w:shd w:fill="F8FAFC"/>
            <w:tcMar>
              <w:top w:w="80" w:type="dxa"/>
              <w:bottom w:w="80" w:type="dxa"/>
              <w:left w:w="100" w:type="dxa"/>
              <w:right w:w="100" w:type="dxa"/>
            </w:tcMar>
          </w:tcPr>
          <w:p>
            <w:r>
              <w:rPr>
                <w:sz w:val="18"/>
              </w:rPr>
              <w:t>Endowment and grant eligibility scoring against student profile</w:t>
            </w:r>
          </w:p>
        </w:tc>
      </w:tr>
      <w:tr>
        <w:tc>
          <w:tcPr>
            <w:tcW w:type="dxa" w:w="3120"/>
            <w:shd w:fill="FFFFFF"/>
            <w:tcMar>
              <w:top w:w="80" w:type="dxa"/>
              <w:bottom w:w="80" w:type="dxa"/>
              <w:left w:w="100" w:type="dxa"/>
              <w:right w:w="100" w:type="dxa"/>
            </w:tcMar>
          </w:tcPr>
          <w:p>
            <w:r>
              <w:rPr>
                <w:b/>
                <w:color w:val="2563EB"/>
                <w:sz w:val="18"/>
              </w:rPr>
              <w:t>POST /api/v1/documents/audit</w:t>
            </w:r>
          </w:p>
        </w:tc>
        <w:tc>
          <w:tcPr>
            <w:tcW w:type="dxa" w:w="3120"/>
            <w:shd w:fill="FFFFFF"/>
            <w:tcMar>
              <w:top w:w="80" w:type="dxa"/>
              <w:bottom w:w="80" w:type="dxa"/>
              <w:left w:w="100" w:type="dxa"/>
              <w:right w:w="100" w:type="dxa"/>
            </w:tcMar>
          </w:tcPr>
          <w:p>
            <w:r>
              <w:rPr>
                <w:sz w:val="18"/>
              </w:rPr>
              <w:t>Agent 7: DocumentAudit</w:t>
            </w:r>
          </w:p>
        </w:tc>
        <w:tc>
          <w:tcPr>
            <w:tcW w:type="dxa" w:w="3120"/>
            <w:shd w:fill="FFFFFF"/>
            <w:tcMar>
              <w:top w:w="80" w:type="dxa"/>
              <w:bottom w:w="80" w:type="dxa"/>
              <w:left w:w="100" w:type="dxa"/>
              <w:right w:w="100" w:type="dxa"/>
            </w:tcMar>
          </w:tcPr>
          <w:p>
            <w:r>
              <w:rPr>
                <w:sz w:val="18"/>
              </w:rPr>
              <w:t>Country-specific admissions compliance and gap detection</w:t>
            </w:r>
          </w:p>
        </w:tc>
      </w:tr>
      <w:tr>
        <w:tc>
          <w:tcPr>
            <w:tcW w:type="dxa" w:w="3120"/>
            <w:shd w:fill="F8FAFC"/>
            <w:tcMar>
              <w:top w:w="80" w:type="dxa"/>
              <w:bottom w:w="80" w:type="dxa"/>
              <w:left w:w="100" w:type="dxa"/>
              <w:right w:w="100" w:type="dxa"/>
            </w:tcMar>
          </w:tcPr>
          <w:p>
            <w:r>
              <w:rPr>
                <w:b/>
                <w:color w:val="2563EB"/>
                <w:sz w:val="18"/>
              </w:rPr>
              <w:t>POST /api/v1/email/draft</w:t>
            </w:r>
          </w:p>
        </w:tc>
        <w:tc>
          <w:tcPr>
            <w:tcW w:type="dxa" w:w="3120"/>
            <w:shd w:fill="F8FAFC"/>
            <w:tcMar>
              <w:top w:w="80" w:type="dxa"/>
              <w:bottom w:w="80" w:type="dxa"/>
              <w:left w:w="100" w:type="dxa"/>
              <w:right w:w="100" w:type="dxa"/>
            </w:tcMar>
          </w:tcPr>
          <w:p>
            <w:r>
              <w:rPr>
                <w:sz w:val="18"/>
              </w:rPr>
              <w:t>Agent 8: EmailDraft</w:t>
            </w:r>
          </w:p>
        </w:tc>
        <w:tc>
          <w:tcPr>
            <w:tcW w:type="dxa" w:w="3120"/>
            <w:shd w:fill="F8FAFC"/>
            <w:tcMar>
              <w:top w:w="80" w:type="dxa"/>
              <w:bottom w:w="80" w:type="dxa"/>
              <w:left w:w="100" w:type="dxa"/>
              <w:right w:w="100" w:type="dxa"/>
            </w:tcMar>
          </w:tcPr>
          <w:p>
            <w:r>
              <w:rPr>
                <w:sz w:val="18"/>
              </w:rPr>
              <w:t>Research supervisor cold inquiry email generator</w:t>
            </w:r>
          </w:p>
        </w:tc>
      </w:tr>
      <w:tr>
        <w:tc>
          <w:tcPr>
            <w:tcW w:type="dxa" w:w="3120"/>
            <w:shd w:fill="FFFFFF"/>
            <w:tcMar>
              <w:top w:w="80" w:type="dxa"/>
              <w:bottom w:w="80" w:type="dxa"/>
              <w:left w:w="100" w:type="dxa"/>
              <w:right w:w="100" w:type="dxa"/>
            </w:tcMar>
          </w:tcPr>
          <w:p>
            <w:r>
              <w:rPr>
                <w:b/>
                <w:color w:val="2563EB"/>
                <w:sz w:val="18"/>
              </w:rPr>
              <w:t>POST /api/chat</w:t>
            </w:r>
          </w:p>
        </w:tc>
        <w:tc>
          <w:tcPr>
            <w:tcW w:type="dxa" w:w="3120"/>
            <w:shd w:fill="FFFFFF"/>
            <w:tcMar>
              <w:top w:w="80" w:type="dxa"/>
              <w:bottom w:w="80" w:type="dxa"/>
              <w:left w:w="100" w:type="dxa"/>
              <w:right w:w="100" w:type="dxa"/>
            </w:tcMar>
          </w:tcPr>
          <w:p>
            <w:r>
              <w:rPr>
                <w:sz w:val="18"/>
              </w:rPr>
              <w:t>Global Chatbot Assistant</w:t>
            </w:r>
          </w:p>
        </w:tc>
        <w:tc>
          <w:tcPr>
            <w:tcW w:type="dxa" w:w="3120"/>
            <w:shd w:fill="FFFFFF"/>
            <w:tcMar>
              <w:top w:w="80" w:type="dxa"/>
              <w:bottom w:w="80" w:type="dxa"/>
              <w:left w:w="100" w:type="dxa"/>
              <w:right w:w="100" w:type="dxa"/>
            </w:tcMar>
          </w:tcPr>
          <w:p>
            <w:r>
              <w:rPr>
                <w:sz w:val="18"/>
              </w:rPr>
              <w:t>Session-persisted conversational advisor with markdown formatting</w:t>
            </w:r>
          </w:p>
        </w:tc>
      </w:tr>
    </w:tbl>
    <w:p>
      <w:pPr>
        <w:pStyle w:val="Heading1"/>
        <w:spacing w:before="320" w:after="120"/>
      </w:pPr>
      <w:r>
        <w:rPr>
          <w:b/>
          <w:color w:val="0F172A"/>
          <w:sz w:val="36"/>
        </w:rPr>
        <w:t>8. Client Demonstration Walkthrough Script</w:t>
      </w:r>
    </w:p>
    <w:p>
      <w:r>
        <w:t>Follow this structured sequence during executive demonstrations:</w:t>
      </w:r>
    </w:p>
    <w:p>
      <w:pPr>
        <w:pStyle w:val="Heading2"/>
        <w:spacing w:before="240" w:after="80"/>
      </w:pPr>
      <w:r>
        <w:rPr>
          <w:b/>
          <w:color w:val="2563EB"/>
          <w:sz w:val="27"/>
        </w:rPr>
        <w:t>1. The Opening Pitch</w:t>
      </w:r>
    </w:p>
    <w:p>
      <w:r>
        <w:t>Open http://localhost:3000. Highlight that traditional consultancies charge $5,000 for static advice and push commission-paying universities. StudyAbroad.AI automates the entire process with 12 specialized AI agents at zero operational cost.</w:t>
      </w:r>
    </w:p>
    <w:p>
      <w:pPr>
        <w:pStyle w:val="Heading2"/>
        <w:spacing w:before="240" w:after="80"/>
      </w:pPr>
      <w:r>
        <w:rPr>
          <w:b/>
          <w:color w:val="2563EB"/>
          <w:sz w:val="27"/>
        </w:rPr>
        <w:t>2. Visual Excellence &amp; Social Proof</w:t>
      </w:r>
    </w:p>
    <w:p>
      <w:r>
        <w:t>Showcase the campus architecture backgrounds (MIT, Oxford, TUM, ETH Zurich), live count-up numbers, student testimonials, and admissions mentor council to establish platform credibility.</w:t>
      </w:r>
    </w:p>
    <w:p>
      <w:pPr>
        <w:pStyle w:val="Heading2"/>
        <w:spacing w:before="240" w:after="80"/>
      </w:pPr>
      <w:r>
        <w:rPr>
          <w:b/>
          <w:color w:val="2563EB"/>
          <w:sz w:val="27"/>
        </w:rPr>
        <w:t>3. Profile Evaluation Demo</w:t>
      </w:r>
    </w:p>
    <w:p>
      <w:r>
        <w:t>Navigate to /profile, click '⚡ Load Demo Profile', and run the evaluation. In under 2 seconds, demonstrate how the AI scores academic standing, research depth, and visa readiness with actionable feedback.</w:t>
      </w:r>
    </w:p>
    <w:p>
      <w:pPr>
        <w:pStyle w:val="Heading2"/>
        <w:spacing w:before="240" w:after="80"/>
      </w:pPr>
      <w:r>
        <w:rPr>
          <w:b/>
          <w:color w:val="2563EB"/>
          <w:sz w:val="27"/>
        </w:rPr>
        <w:t>4. Live Command Center</w:t>
      </w:r>
    </w:p>
    <w:p>
      <w:r>
        <w:t>Watch the 3-second auto-redirect land on /dashboard. Show that the student's name, score, and matches reflect their actual profile. Click 'Run Agent Pipeline' to demonstrate live parallel agent execution and latency meters.</w:t>
      </w:r>
    </w:p>
    <w:p>
      <w:pPr>
        <w:pStyle w:val="Heading2"/>
        <w:spacing w:before="240" w:after="80"/>
      </w:pPr>
      <w:r>
        <w:rPr>
          <w:b/>
          <w:color w:val="2563EB"/>
          <w:sz w:val="27"/>
        </w:rPr>
        <w:t>5. University Catalog to SOP Deep-Linking</w:t>
      </w:r>
    </w:p>
    <w:p>
      <w:r>
        <w:t>Navigate to /universities, shortlist a university, and click 'Write SOP' on TU Munich. Show how the university and program were automatically carried into the SOP Writer without retyping.</w:t>
      </w:r>
    </w:p>
    <w:p>
      <w:pPr>
        <w:pStyle w:val="Heading2"/>
        <w:spacing w:before="240" w:after="80"/>
      </w:pPr>
      <w:r>
        <w:rPr>
          <w:b/>
          <w:color w:val="2563EB"/>
          <w:sz w:val="27"/>
        </w:rPr>
        <w:t>6. Document Vault &amp; Compliance Audit</w:t>
      </w:r>
    </w:p>
    <w:p>
      <w:r>
        <w:t>Show the generated SOP archived in /dashboard/documents. Click 'Audit Compliance' to demonstrate how Agent 7 detects missing requirements like German blocked accounts before application fees are spent.</w:t>
      </w:r>
    </w:p>
    <w:p>
      <w:pPr>
        <w:pStyle w:val="Heading2"/>
        <w:spacing w:before="240" w:after="80"/>
      </w:pPr>
      <w:r>
        <w:rPr>
          <w:b/>
          <w:color w:val="2563EB"/>
          <w:sz w:val="27"/>
        </w:rPr>
        <w:t>7. 24/7 Chatbot Assistant</w:t>
      </w:r>
    </w:p>
    <w:p>
      <w:r>
        <w:t>Open the floating chat widget. Ask: 'What visa requirements do I need for Germany?'. Show formatted markdown answers, financial solvency thresholds, and instant response speed.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