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73A0F" w14:textId="77777777" w:rsidR="00B764C6" w:rsidRDefault="00F375FE">
      <w:pPr>
        <w:pStyle w:val="Title"/>
      </w:pPr>
      <w:r>
        <w:t>Research Decision Log</w:t>
      </w:r>
    </w:p>
    <w:p w14:paraId="203B3961" w14:textId="77777777" w:rsidR="00B764C6" w:rsidRDefault="00F375FE">
      <w:pPr>
        <w:pStyle w:val="Heading1"/>
      </w:pPr>
      <w:r>
        <w:t>Decision 001 - Study Period</w:t>
      </w:r>
    </w:p>
    <w:p w14:paraId="1B14EF3E" w14:textId="77777777" w:rsidR="00B764C6" w:rsidRDefault="00F375FE">
      <w:r>
        <w:t>Decision:</w:t>
      </w:r>
    </w:p>
    <w:p w14:paraId="0D2AEF6C" w14:textId="77777777" w:rsidR="00B764C6" w:rsidRDefault="00F375FE">
      <w:r>
        <w:t>The long-term forest-change analysis will cover 2001-2025.</w:t>
      </w:r>
    </w:p>
    <w:p w14:paraId="432FCA2A" w14:textId="77777777" w:rsidR="00B764C6" w:rsidRDefault="00F375FE">
      <w:r>
        <w:t>Reason:</w:t>
      </w:r>
    </w:p>
    <w:p w14:paraId="1B6B957C" w14:textId="77777777" w:rsidR="00B764C6" w:rsidRDefault="00F375FE">
      <w:r>
        <w:t xml:space="preserve">Hansen Global Forest Change provides annual forest-loss information for this period, allowing a long-term comparison </w:t>
      </w:r>
      <w:r>
        <w:t>before and after the 2017 Rohingya influx.</w:t>
      </w:r>
    </w:p>
    <w:p>
      <w:pPr/>
      <w:r>
        <w:t>Operational amendment:</w:t>
      </w:r>
    </w:p>
    <w:p>
      <w:pPr/>
      <w:r>
        <w:t>As clarified by Decision 028, the confirmed Hansen-based empirical outcome period currently ends in 2024. The 2025 outcome remains conditional on a complete and validated release.</w:t>
      </w:r>
    </w:p>
    <w:p w14:paraId="095282ED" w14:textId="77777777" w:rsidR="00B764C6" w:rsidRDefault="00F375FE">
      <w:pPr>
        <w:pStyle w:val="Heading1"/>
      </w:pPr>
      <w:r>
        <w:t>Decision 002 - Treatment Date</w:t>
      </w:r>
    </w:p>
    <w:p w14:paraId="3D757F83" w14:textId="77777777" w:rsidR="00B764C6" w:rsidRDefault="00F375FE">
      <w:r>
        <w:t>Decision:</w:t>
      </w:r>
    </w:p>
    <w:p w14:paraId="5FA98E05" w14:textId="77777777" w:rsidR="00B764C6" w:rsidRDefault="00F375FE">
      <w:r>
        <w:t>25 August 2017 will be treated as the beginning of the major Rohingya influx.</w:t>
      </w:r>
    </w:p>
    <w:p w14:paraId="06BA2FF5" w14:textId="77777777" w:rsidR="00B764C6" w:rsidRDefault="00F375FE">
      <w:r>
        <w:t>Analysis periods:</w:t>
      </w:r>
    </w:p>
    <w:p w14:paraId="2FCE9130" w14:textId="77777777" w:rsidR="00B764C6" w:rsidRDefault="00F375FE">
      <w:r>
        <w:t>Pre-treatment: 2001-2016</w:t>
      </w:r>
    </w:p>
    <w:p w14:paraId="22A4A758" w14:textId="77777777" w:rsidR="00B764C6" w:rsidRDefault="00F375FE">
      <w:r>
        <w:t>Transition year: 2017</w:t>
      </w:r>
    </w:p>
    <w:p w14:paraId="21B4AAB2" w14:textId="77777777" w:rsidR="00B764C6" w:rsidRDefault="00F375FE">
      <w:r>
        <w:t>Post-treatment: 2018-2025</w:t>
      </w:r>
    </w:p>
    <w:p>
      <w:pPr/>
      <w:r>
        <w:t>Operational amendment:</w:t>
      </w:r>
    </w:p>
    <w:p>
      <w:pPr/>
      <w:r>
        <w:t>As clarified by Decision 028, the confirmed Hansen-based empirical outcome period currently ends in 2024. The 2025 outcome remains conditional on a complete and validated release.</w:t>
      </w:r>
    </w:p>
    <w:p w14:paraId="2B052C55" w14:textId="77777777" w:rsidR="00B764C6" w:rsidRDefault="00F375FE">
      <w:pPr>
        <w:pStyle w:val="Heading1"/>
      </w:pPr>
      <w:r>
        <w:t>Deci</w:t>
      </w:r>
      <w:r>
        <w:t>sion 003 - Geographic Scope</w:t>
      </w:r>
    </w:p>
    <w:p w14:paraId="00827F2A" w14:textId="77777777" w:rsidR="00B764C6" w:rsidRDefault="00F375FE">
      <w:r>
        <w:t>Decision:</w:t>
      </w:r>
    </w:p>
    <w:p w14:paraId="29553045" w14:textId="77777777" w:rsidR="00B764C6" w:rsidRDefault="00F375FE">
      <w:r>
        <w:t>The study will focus on Ukhiya and Teknaf Upazilas in Cox's Bazar District, including Rohingya camp areas, surrounding forests, protected and reserve forests, wildlife corridors, and comparable control forests.</w:t>
      </w:r>
    </w:p>
    <w:p w14:paraId="4429A1E1" w14:textId="77777777" w:rsidR="00B764C6" w:rsidRDefault="00F375FE">
      <w:pPr>
        <w:pStyle w:val="Heading1"/>
      </w:pPr>
      <w:r>
        <w:t>Decisio</w:t>
      </w:r>
      <w:r>
        <w:t>n 004 - Carbon Scope</w:t>
      </w:r>
    </w:p>
    <w:p w14:paraId="0C341FC7" w14:textId="77777777" w:rsidR="00B764C6" w:rsidRDefault="00F375FE">
      <w:r>
        <w:t>Decision:</w:t>
      </w:r>
    </w:p>
    <w:p w14:paraId="46B3C7CB" w14:textId="77777777" w:rsidR="00B764C6" w:rsidRDefault="00F375FE">
      <w:r>
        <w:t>The research will estimate above-ground biomass carbon loss rather than total ecosystem carbon loss.</w:t>
      </w:r>
    </w:p>
    <w:p w14:paraId="7A04A0EB" w14:textId="77777777" w:rsidR="00B764C6" w:rsidRDefault="00F375FE">
      <w:r>
        <w:t>Reason:</w:t>
      </w:r>
    </w:p>
    <w:p w14:paraId="1E9E3FF9" w14:textId="77777777" w:rsidR="00B764C6" w:rsidRDefault="00F375FE">
      <w:r>
        <w:t>The primary biomass datasets do not fully represent soil carbon, below-ground biomass, litter, and deadwood carbon.</w:t>
      </w:r>
    </w:p>
    <w:p w14:paraId="3808FCD0" w14:textId="77777777" w:rsidR="00B764C6" w:rsidRDefault="00F375FE">
      <w:pPr>
        <w:pStyle w:val="Heading1"/>
      </w:pPr>
      <w:r>
        <w:lastRenderedPageBreak/>
        <w:t>Decision 005 - Causal Analysis Period</w:t>
      </w:r>
    </w:p>
    <w:p w14:paraId="4BD78ABC" w14:textId="77777777" w:rsidR="00B764C6" w:rsidRDefault="00F375FE">
      <w:r>
        <w:t>Decision:</w:t>
      </w:r>
    </w:p>
    <w:p w14:paraId="26F2199A" w14:textId="77777777" w:rsidR="00B764C6" w:rsidRDefault="00F375FE">
      <w:r>
        <w:t>The primary causal comparison will use 2001-2016 as the pre-treatment period and 2018-2025 as the post-treatment period. The year 2017 will be treated separately as a transition year.</w:t>
      </w:r>
    </w:p>
    <w:p>
      <w:pPr/>
      <w:r>
        <w:t>Operational amendment:</w:t>
      </w:r>
    </w:p>
    <w:p>
      <w:pPr/>
      <w:r>
        <w:t>As clarified by Decision 028, the confirmed Hansen-based empirical outcome period currently ends in 2024. The 2025 outcome remains conditional on a complete and validated release.</w:t>
      </w:r>
    </w:p>
    <w:p w14:paraId="30CCF17A" w14:textId="77777777" w:rsidR="00B764C6" w:rsidRDefault="00F375FE">
      <w:pPr>
        <w:pStyle w:val="Heading1"/>
      </w:pPr>
      <w:r>
        <w:t xml:space="preserve">Decision 006 - Research </w:t>
      </w:r>
      <w:r>
        <w:t>Workflow</w:t>
      </w:r>
    </w:p>
    <w:p w14:paraId="4158A891" w14:textId="77777777" w:rsidR="00B764C6" w:rsidRDefault="00F375FE">
      <w:r>
        <w:t>Decision:</w:t>
      </w:r>
    </w:p>
    <w:p w14:paraId="26A2D8AA" w14:textId="77777777" w:rsidR="00F375FE" w:rsidRDefault="00F375FE">
      <w:r>
        <w:t>Each research step must be completed, documented, validated, and added to the report before the next step begins.</w:t>
      </w:r>
    </w:p>
    <w:p w14:paraId="014794F4" w14:textId="505EAA24" w:rsidR="00B764C6" w:rsidRDefault="00B764C6" w:rsidP="00F375FE">
      <w:pPr>
        <w:pStyle w:val="Heading1"/>
      </w:pPr>
    </w:p>
    <w:p w14:paraId="5AB207FF" w14:textId="71966B1D" w:rsidR="00F375FE" w:rsidRDefault="00F375FE" w:rsidP="00F375FE">
      <w:pPr>
        <w:pStyle w:val="Heading1"/>
      </w:pPr>
      <w:r>
        <w:t>Decision 007 - Expected Research Outputs</w:t>
      </w:r>
    </w:p>
    <w:p w14:paraId="32983E7B" w14:textId="7C45F34C" w:rsidR="00F375FE" w:rsidRDefault="00F375FE" w:rsidP="00F375FE">
      <w:r>
        <w:t>Decision:</w:t>
      </w:r>
    </w:p>
    <w:p w14:paraId="2293966F" w14:textId="57234466" w:rsidR="00F375FE" w:rsidRDefault="00F375FE" w:rsidP="00F375FE">
      <w:r>
        <w:t>The research will produce annual forest-loss maps, fragmentation metrics, above-ground carbon-loss estimates, explainable machine-learning results, causal-effect estimates, risk maps, conservation-priority maps, and a complete reproducible research report.</w:t>
      </w:r>
    </w:p>
    <w:p w14:paraId="7F03EE58" w14:textId="0771CF88" w:rsidR="00F375FE" w:rsidRDefault="00F375FE" w:rsidP="00F375FE">
      <w:pPr>
        <w:pStyle w:val="Heading1"/>
      </w:pPr>
      <w:r>
        <w:t>Decision 008 - Study Delimitation</w:t>
      </w:r>
    </w:p>
    <w:p w14:paraId="34334569" w14:textId="02B430EE" w:rsidR="00F375FE" w:rsidRDefault="00F375FE" w:rsidP="00F375FE">
      <w:r>
        <w:t>Decision:</w:t>
      </w:r>
    </w:p>
    <w:p w14:paraId="55C5DC52" w14:textId="420CF052" w:rsidR="00F375FE" w:rsidRDefault="00F375FE" w:rsidP="00F375FE">
      <w:r>
        <w:t>The study will focus on landscape-level forest and above-ground carbon impacts in Ukhiya and Teknaf. It will not claim to measure total ecosystem carbon or the complete environmental, social, or economic impact of the Rohingya influx.</w:t>
      </w:r>
    </w:p>
    <w:p w14:paraId="056C6085" w14:textId="77777777" w:rsidR="00F375FE" w:rsidRPr="00F375FE" w:rsidRDefault="00F375FE" w:rsidP="00F375FE"/>
    <w:p/>
    <w:p>
      <w:pPr>
        <w:pStyle w:val="Heading1"/>
      </w:pPr>
      <w:r>
        <w:t>Decision 009 — Causal Novelty</w:t>
      </w:r>
    </w:p>
    <w:p>
      <w:r>
        <w:t>Decision:</w:t>
      </w:r>
    </w:p>
    <w:p>
      <w:r>
        <w:t>The research will not claim to be the first causal analysis of Rohingya-related forest loss.</w:t>
      </w:r>
    </w:p>
    <w:p>
      <w:r>
        <w:t>Reason:</w:t>
      </w:r>
    </w:p>
    <w:p>
      <w:r>
        <w:t>Dampha et al. (2022) already applied Difference-in-Differences to estimate additional forest loss associated with camp opening.</w:t>
      </w:r>
    </w:p>
    <w:p>
      <w:r>
        <w:t>Proposed improvement:</w:t>
      </w:r>
    </w:p>
    <w:p>
      <w:r>
        <w:t>The current study will use a longer annual panel, time-varying camp exposure, SDID, fragmentation outcomes, carbon attribution, spatial robustness and explainable machine learning.</w:t>
      </w:r>
    </w:p>
    <w:p/>
    <w:p>
      <w:pPr>
        <w:pStyle w:val="Heading1"/>
      </w:pPr>
      <w:r>
        <w:t>Decision 010 — Primary Causal Estimator</w:t>
      </w:r>
    </w:p>
    <w:p>
      <w:r>
        <w:t>Decision:</w:t>
      </w:r>
    </w:p>
    <w:p>
      <w:r>
        <w:t>Synthetic Difference-in-Differences will be treated as the primary candidate estimator for post-2017 causal attribution.</w:t>
      </w:r>
    </w:p>
    <w:p>
      <w:r>
        <w:t>Benchmark models:</w:t>
      </w:r>
    </w:p>
    <w:p>
      <w:r>
        <w:t>1. Conventional Difference-in-Differences</w:t>
      </w:r>
    </w:p>
    <w:p>
      <w:r>
        <w:t>2. Synthetic Control</w:t>
      </w:r>
    </w:p>
    <w:p>
      <w:r>
        <w:t>3. Synthetic Difference-in-Differences</w:t>
      </w:r>
    </w:p>
    <w:p>
      <w:r>
        <w:t>Provisional timing:</w:t>
      </w:r>
    </w:p>
    <w:p>
      <w:r>
        <w:t>Pre-treatment: 2001–2016</w:t>
      </w:r>
    </w:p>
    <w:p>
      <w:r>
        <w:t>Transition: 2017</w:t>
      </w:r>
    </w:p>
    <w:p>
      <w:r>
        <w:t>Post-treatment: 2018–2025</w:t>
      </w:r>
    </w:p>
    <w:p>
      <w:r>
        <w:t>Reason:</w:t>
      </w:r>
    </w:p>
    <w:p>
      <w:r>
        <w:t>SDID can improve the pre-treatment comparability of treated and control landscapes through both unit and time weighting.</w:t>
      </w:r>
    </w:p>
    <w:p>
      <w:r>
        <w:t>Condition:</w:t>
      </w:r>
    </w:p>
    <w:p>
      <w:r>
        <w:t>The final method will only be retained if adequate pre-treatment fit, donor support and defensible spillover controls are demonstrated.</w:t>
      </w:r>
    </w:p>
    <w:p/>
    <w:p>
      <w:pPr>
        <w:pStyle w:val="Heading1"/>
      </w:pPr>
      <w:r>
        <w:t>Decision 011 — Novelty Refinement after P008</w:t>
      </w:r>
    </w:p>
    <w:p>
      <w:r>
        <w:t>Decision:</w:t>
      </w:r>
    </w:p>
    <w:p>
      <w:r>
        <w:t>The research will not claim to be the first annual causal event-study analysis of post-2017 land-cover change, nor the first study to combine matching with Difference-in-Differences in the Rohingya camp landscape.</w:t>
      </w:r>
    </w:p>
    <w:p>
      <w:r>
        <w:t>Reason:</w:t>
      </w:r>
    </w:p>
    <w:p>
      <w:r>
        <w:t>Salemi (2025) already analyses annual 2016–2023 Dynamic World land-cover probabilities using propensity-score matching and a Difference-in-Differences event study.</w:t>
      </w:r>
    </w:p>
    <w:p>
      <w:r>
        <w:t>Locked differentiation:</w:t>
      </w:r>
    </w:p>
    <w:p>
      <w:r>
        <w:t>1. Annual 2001–2025 long pre-treatment panel</w:t>
      </w:r>
    </w:p>
    <w:p>
      <w:r>
        <w:t>2. Time-varying camp exposure</w:t>
      </w:r>
    </w:p>
    <w:p>
      <w:r>
        <w:t>3. SDID unit and time weighting</w:t>
      </w:r>
    </w:p>
    <w:p>
      <w:r>
        <w:t>4. Spatial-interference and donor-support diagnostics</w:t>
      </w:r>
    </w:p>
    <w:p>
      <w:r>
        <w:t>5. Annual fragmentation outcomes</w:t>
      </w:r>
    </w:p>
    <w:p>
      <w:r>
        <w:t>6. Attributable above-ground carbon loss</w:t>
      </w:r>
    </w:p>
    <w:p>
      <w:r>
        <w:t>7. Measurement-uncertainty propagation</w:t>
      </w:r>
    </w:p>
    <w:p>
      <w:r>
        <w:t>8. Separate SHAP predictive analysis</w:t>
      </w:r>
    </w:p>
    <w:p>
      <w:r>
        <w:t>9. Conservation-priority mapping</w:t>
      </w:r>
    </w:p>
    <w:p/>
    <w:p>
      <w:pPr>
        <w:pStyle w:val="Heading1"/>
      </w:pPr>
      <w:r>
        <w:t>Decision 012 — Explicit Recovery Phase</w:t>
      </w:r>
    </w:p>
    <w:p>
      <w:r>
        <w:t>Decision:</w:t>
      </w:r>
    </w:p>
    <w:p>
      <w:r>
        <w:t>The post-treatment period will not be modelled as a single uniform forest-degradation phase.</w:t>
      </w:r>
    </w:p>
    <w:p>
      <w:r>
        <w:t>Provisional analytical phases:</w:t>
      </w:r>
    </w:p>
    <w:p>
      <w:r>
        <w:t>1. Pre-influx baseline: 2001–2016</w:t>
      </w:r>
    </w:p>
    <w:p>
      <w:r>
        <w:t>2. Transition and acute disturbance: 2017–2018</w:t>
      </w:r>
    </w:p>
    <w:p>
      <w:r>
        <w:t>3. Intervention and early recovery: 2019–2021</w:t>
      </w:r>
    </w:p>
    <w:p>
      <w:r>
        <w:t>4. Continued recovery or renewed pressure: 2022–2025</w:t>
      </w:r>
    </w:p>
    <w:p>
      <w:r>
        <w:t>Reason:</w:t>
      </w:r>
    </w:p>
    <w:p>
      <w:r>
        <w:t>P005, P006, P008 and P009 show that restoration, camp management, LPG adoption, fencing, settlement change and natural regeneration may alter the post-disturbance forest trajectory.</w:t>
      </w:r>
    </w:p>
    <w:p>
      <w:r>
        <w:t>Condition:</w:t>
      </w:r>
    </w:p>
    <w:p>
      <w:r>
        <w:t>The final phase boundaries will be validated against annual forest, camp-exposure and intervention data during the empirical analysis.</w:t>
      </w:r>
    </w:p>
    <w:p>
      <w:r>
        <w:t>Note:</w:t>
      </w:r>
    </w:p>
    <w:p>
      <w:r>
        <w:t>This does not replace Decision 010 causal timing. Main SDID remains: Pre 2001–2016; Transition 2017; Post 2018–2025. Decision 012 applies to post-period heterogeneity and recovery analysis.</w:t>
      </w:r>
    </w:p>
    <w:p/>
    <w:p>
      <w:pPr>
        <w:pStyle w:val="Heading1"/>
      </w:pPr>
      <w:r>
        <w:t>Decision 013 — Prediction Is Not Causal Attribution</w:t>
      </w:r>
    </w:p>
    <w:p>
      <w:r>
        <w:t>Decision:</w:t>
      </w:r>
    </w:p>
    <w:p>
      <w:r>
        <w:t>Future forest-risk prediction and historical causal attribution will be treated as separate analytical components.</w:t>
      </w:r>
    </w:p>
    <w:p>
      <w:r>
        <w:t>Reason:</w:t>
      </w:r>
    </w:p>
    <w:p>
      <w:r>
        <w:t>P010 uses CA–Markov to project future land-cover transitions but does not estimate a counterfactual causal treatment effect.</w:t>
      </w:r>
    </w:p>
    <w:p>
      <w:r>
        <w:t>Implementation:</w:t>
      </w:r>
    </w:p>
    <w:p>
      <w:r>
        <w:t>1. Historical attribution: SDID / event-study framework</w:t>
      </w:r>
    </w:p>
    <w:p>
      <w:r>
        <w:t>2. Future risk: Spatial predictive model with temporal holdout and SHAP</w:t>
      </w:r>
    </w:p>
    <w:p>
      <w:r>
        <w:t>3. Carbon attribution: Historical causal forest-loss estimate combined with biomass data</w:t>
      </w:r>
    </w:p>
    <w:p>
      <w:r>
        <w:t>Condition:</w:t>
      </w:r>
    </w:p>
    <w:p>
      <w:r>
        <w:t>Predicted future loss will not be labelled as refugee-attributable unless a separate causal identification strategy supports that claim.</w:t>
      </w:r>
    </w:p>
    <w:p>
      <w:pPr>
        <w:pStyle w:val="Heading1"/>
      </w:pPr>
      <w:r>
        <w:t>Decision 014 — Ecosystem-Service Valuation as Supplementary Evidence</w:t>
      </w:r>
    </w:p>
    <w:p>
      <w:pPr>
        <w:pStyle w:val="Heading2"/>
      </w:pPr>
      <w:r>
        <w:t>Decision:</w:t>
      </w:r>
    </w:p>
    <w:p>
      <w:r>
        <w:t>Monetary ecosystem-service valuation will not be treated as a primary causal outcome unless locally defensible coefficients and uncertainty bounds can be established.</w:t>
      </w:r>
    </w:p>
    <w:p>
      <w:pPr>
        <w:pStyle w:val="Heading2"/>
      </w:pPr>
      <w:r>
        <w:t>Primary outcomes:</w:t>
      </w:r>
    </w:p>
    <w:p>
      <w:r>
        <w:t>1. Annual forest loss</w:t>
      </w:r>
    </w:p>
    <w:p>
      <w:r>
        <w:t>2. Fragmentation</w:t>
      </w:r>
    </w:p>
    <w:p>
      <w:r>
        <w:t>3. Above-ground biomass/carbon loss</w:t>
      </w:r>
    </w:p>
    <w:p>
      <w:r>
        <w:t>4. SDID-attributable effects</w:t>
      </w:r>
    </w:p>
    <w:p>
      <w:pPr>
        <w:pStyle w:val="Heading2"/>
      </w:pPr>
      <w:r>
        <w:t>Supplementary outcomes:</w:t>
      </w:r>
    </w:p>
    <w:p>
      <w:r>
        <w:t>1. Ecological-quality indicators</w:t>
      </w:r>
    </w:p>
    <w:p>
      <w:r>
        <w:t>2. Ecosystem-service implications</w:t>
      </w:r>
    </w:p>
    <w:p>
      <w:r>
        <w:t>3. Conservation-priority interpretation</w:t>
      </w:r>
    </w:p>
    <w:p>
      <w:pPr>
        <w:pStyle w:val="Heading2"/>
      </w:pPr>
      <w:r>
        <w:t>Reason:</w:t>
      </w:r>
    </w:p>
    <w:p>
      <w:r>
        <w:t>P011 shows that benefit-transfer ESV can summarize ecological trade-offs, but global coefficients and aggregation may mask major changes among individual ecosystem services.</w:t>
      </w:r>
    </w:p>
    <w:p>
      <w:pPr>
        <w:pStyle w:val="Heading2"/>
      </w:pPr>
      <w:r>
        <w:t>Condition:</w:t>
      </w:r>
    </w:p>
    <w:p>
      <w:r>
        <w:t>Any ESV analysis included later must clearly separate coefficient uncertainty, classification uncertainty and causal attribution.</w:t>
      </w:r>
    </w:p>
    <w:p>
      <w:pPr>
        <w:pStyle w:val="Heading1"/>
      </w:pPr>
      <w:r>
        <w:t>Decision 015 — Overlapping Publications and Evidence Independence</w:t>
      </w:r>
    </w:p>
    <w:p>
      <w:pPr>
        <w:pStyle w:val="Heading2"/>
      </w:pPr>
      <w:r>
        <w:t>Decision:</w:t>
      </w:r>
    </w:p>
    <w:p>
      <w:r>
        <w:t>P011 and P012 will remain separate bibliographic records but will be treated as one related evidence family for synthesis.</w:t>
      </w:r>
    </w:p>
    <w:p>
      <w:pPr>
        <w:pStyle w:val="Heading2"/>
      </w:pPr>
      <w:r>
        <w:t>Reason:</w:t>
      </w:r>
    </w:p>
    <w:p>
      <w:r>
        <w:t>The two papers share the same authors, study area, general 2017–2021 LULC design and nearly identical forest and settlement changes, while applying different or revised ecosystem-service calculations.</w:t>
      </w:r>
    </w:p>
    <w:p>
      <w:pPr>
        <w:pStyle w:val="Heading2"/>
      </w:pPr>
      <w:r>
        <w:t>Implementation:</w:t>
      </w:r>
    </w:p>
    <w:p>
      <w:r>
        <w:t>1. Do not count P011 and P012 as two independent confirmations of the same forest-loss result.</w:t>
      </w:r>
    </w:p>
    <w:p>
      <w:r>
        <w:t>2. Cite P012 for its specific ESV framework and results.</w:t>
      </w:r>
    </w:p>
    <w:p>
      <w:r>
        <w:t>3. Cite P011 for its broader ML comparison, fuzzy ecological quality analysis and revised ecosystem-service results.</w:t>
      </w:r>
    </w:p>
    <w:p>
      <w:r>
        <w:t>4. Record all conflicting monetary values separately.</w:t>
      </w:r>
    </w:p>
    <w:p>
      <w:r>
        <w:t>5. Do not average the ESV estimates.</w:t>
      </w:r>
    </w:p>
    <w:p>
      <w:r>
        <w:t>6. Investigate coefficient and proxy differences during thematic synthesis.</w:t>
      </w:r>
    </w:p>
    <w:p>
      <w:r>
        <w:t>Decision 014 remains unchanged: ESV stays supplementary rather than a primary causal outcome.</w:t>
      </w:r>
    </w:p>
    <w:p>
      <w:pPr>
        <w:pStyle w:val="Heading1"/>
      </w:pPr>
      <w:r>
        <w:t>Decision 016 — Spatial-Domain and Validation Consistency</w:t>
      </w:r>
    </w:p>
    <w:p>
      <w:pPr>
        <w:pStyle w:val="Heading2"/>
      </w:pPr>
      <w:r>
        <w:t>Decision:</w:t>
      </w:r>
    </w:p>
    <w:p>
      <w:r>
        <w:t>Descriptive, predictive and causal results will use consistent spatial units whenever possible.</w:t>
      </w:r>
    </w:p>
    <w:p>
      <w:r>
        <w:t>Where different spatial domains are necessary, results will be reported separately and will not be compared as if they share the same denominator.</w:t>
      </w:r>
    </w:p>
    <w:p>
      <w:pPr>
        <w:pStyle w:val="Heading2"/>
      </w:pPr>
      <w:r>
        <w:t>Implementation:</w:t>
      </w:r>
    </w:p>
    <w:p>
      <w:r>
        <w:t>1. Lock a common analysis grid.</w:t>
      </w:r>
    </w:p>
    <w:p>
      <w:r>
        <w:t>2. Record AOI, denominator and resolution for every result.</w:t>
      </w:r>
    </w:p>
    <w:p>
      <w:r>
        <w:t>3. Separate camp-core, spillover-zone and wider-landscape findings.</w:t>
      </w:r>
    </w:p>
    <w:p>
      <w:r>
        <w:t>4. Validate predictive models using spatial blocks and temporal holdout periods.</w:t>
      </w:r>
    </w:p>
    <w:p>
      <w:r>
        <w:t>5. Do not treat index correlations as independent validation.</w:t>
      </w:r>
    </w:p>
    <w:p>
      <w:r>
        <w:t>6. Do not label broad vegetation loss as forest loss unless the class definition supports it.</w:t>
      </w:r>
    </w:p>
    <w:p>
      <w:pPr>
        <w:pStyle w:val="Heading2"/>
      </w:pPr>
      <w:r>
        <w:t>Reason:</w:t>
      </w:r>
    </w:p>
    <w:p>
      <w:r>
        <w:t>P013 combines camp-core historical percentages with wider Ukhiya–Teknaf predictions and uses NDVI–LST association as an accuracy indicator, creating potential interpretation problems.</w:t>
      </w:r>
    </w:p>
    <w:p>
      <w:r>
        <w:t>Decision 013 remains unchanged: prediction is not causal attribution.</w:t>
      </w:r>
    </w:p>
    <w:p>
      <w:pPr>
        <w:pStyle w:val="Heading1"/>
      </w:pPr>
      <w:r>
        <w:t>Decision 017 — Driver Triangulation and Distance-Decay Diagnostics</w:t>
      </w:r>
    </w:p>
    <w:p>
      <w:pPr>
        <w:pStyle w:val="Heading2"/>
      </w:pPr>
      <w:r>
        <w:t>Decision:</w:t>
      </w:r>
    </w:p>
    <w:p>
      <w:r>
        <w:t>Socioeconomic-driver claims will be separated from formal causal attribution and will require triangulation across multiple evidence sources.</w:t>
      </w:r>
    </w:p>
    <w:p>
      <w:pPr>
        <w:pStyle w:val="Heading2"/>
      </w:pPr>
      <w:r>
        <w:t>Driver-evidence hierarchy:</w:t>
      </w:r>
    </w:p>
    <w:p>
      <w:r>
        <w:t>1. Annual spatial outcome pattern</w:t>
      </w:r>
    </w:p>
    <w:p>
      <w:r>
        <w:t>2. Temporal alignment with camp/intervention events</w:t>
      </w:r>
    </w:p>
    <w:p>
      <w:r>
        <w:t>3. Distance-decay pattern</w:t>
      </w:r>
    </w:p>
    <w:p>
      <w:r>
        <w:t>4. Camp population and exposure data</w:t>
      </w:r>
    </w:p>
    <w:p>
      <w:r>
        <w:t>5. Roads, settlements, agriculture and market indicators</w:t>
      </w:r>
    </w:p>
    <w:p>
      <w:r>
        <w:t>6. Official reports and intervention records</w:t>
      </w:r>
    </w:p>
    <w:p>
      <w:r>
        <w:t>7. Local expert or field evidence, where available</w:t>
      </w:r>
    </w:p>
    <w:p>
      <w:r>
        <w:t>8. Causal SDID estimate reported separately</w:t>
      </w:r>
    </w:p>
    <w:p>
      <w:pPr>
        <w:pStyle w:val="Heading2"/>
      </w:pPr>
      <w:r>
        <w:t>Implementation:</w:t>
      </w:r>
    </w:p>
    <w:p>
      <w:r>
        <w:t>• Report camp-core and distance-band outcomes.</w:t>
      </w:r>
    </w:p>
    <w:p>
      <w:r>
        <w:t>• Test alternative buffer and spillover exclusions.</w:t>
      </w:r>
    </w:p>
    <w:p>
      <w:r>
        <w:t>• Distinguish direct clearing from indirect agricultural, settlement, market and host-community effects.</w:t>
      </w:r>
    </w:p>
    <w:p>
      <w:r>
        <w:t>• Separate descriptive SHAP associations from SDID attribution.</w:t>
      </w:r>
    </w:p>
    <w:p>
      <w:r>
        <w:t>• Treat interviews and reports as mechanism evidence, not standalone proof of causality.</w:t>
      </w:r>
    </w:p>
    <w:p>
      <w:pPr>
        <w:pStyle w:val="Heading2"/>
      </w:pPr>
      <w:r>
        <w:t>Reason:</w:t>
      </w:r>
    </w:p>
    <w:p>
      <w:r>
        <w:t>P014 shows the analytical value of combining annual satellite maps with distance gradients and expert knowledge, but also demonstrates that plausible driver interpretation is distinct from counterfactual causal estimation.</w:t>
      </w:r>
    </w:p>
    <w:p>
      <w:pPr>
        <w:pStyle w:val="Heading1"/>
      </w:pPr>
      <w:r>
        <w:t>Decision 018 — Wildlife Connectivity as a Conservation Layer</w:t>
      </w:r>
    </w:p>
    <w:p>
      <w:pPr>
        <w:pStyle w:val="Heading2"/>
      </w:pPr>
      <w:r>
        <w:t>Decision:</w:t>
      </w:r>
    </w:p>
    <w:p>
      <w:pPr/>
      <w:r>
        <w:t>Asian-elephant routes, wildlife corridors and habitat connectivity will be included as supplementary conservation-priority layers, not as primary causal outcomes.</w:t>
      </w:r>
    </w:p>
    <w:p>
      <w:pPr>
        <w:pStyle w:val="Heading2"/>
      </w:pPr>
      <w:r>
        <w:t>Implementation:</w:t>
      </w:r>
    </w:p>
    <w:p>
      <w:pPr/>
      <w:r>
        <w:t>1. Use verified corridor and protected-area spatial datasets.</w:t>
      </w:r>
    </w:p>
    <w:p>
      <w:pPr/>
      <w:r>
        <w:t>2. Calculate forest connectivity and fragmentation independently.</w:t>
      </w:r>
    </w:p>
    <w:p>
      <w:pPr/>
      <w:r>
        <w:t>3. Identify overlap between causal forest loss, carbon density, core habitat and elephant corridors.</w:t>
      </w:r>
    </w:p>
    <w:p>
      <w:pPr/>
      <w:r>
        <w:t>4. Do not infer actual elephant movement solely from mapped corridor overlap.</w:t>
      </w:r>
    </w:p>
    <w:p>
      <w:pPr/>
      <w:r>
        <w:t>5. Do not report wildlife mortality or injury numbers without independently verified primary records.</w:t>
      </w:r>
    </w:p>
    <w:p>
      <w:pPr/>
      <w:r>
        <w:t>6. Separate humanitarian-policy recommendations from empirical environmental findings.</w:t>
      </w:r>
    </w:p>
    <w:p>
      <w:pPr/>
      <w:r>
        <w:t>7. Frame recommendations around corridor protection, coexistence, restoration and risk reduction.</w:t>
      </w:r>
    </w:p>
    <w:p>
      <w:pPr>
        <w:pStyle w:val="Heading2"/>
      </w:pPr>
      <w:r>
        <w:t>Reason:</w:t>
      </w:r>
    </w:p>
    <w:p>
      <w:pPr/>
      <w:r>
        <w:t>P015 demonstrates the conservation importance of elephant routes but does not provide sufficient movement, casualty or counterfactual evidence to treat those outcomes as causally established.</w:t>
      </w:r>
    </w:p>
    <w:p>
      <w:pPr>
        <w:pStyle w:val="Heading1"/>
      </w:pPr>
      <w:r>
        <w:t>Decision 019 — Recovery, Resilience and Carbon Are Distinct Outcomes</w:t>
      </w:r>
    </w:p>
    <w:p>
      <w:pPr>
        <w:pStyle w:val="Heading2"/>
      </w:pPr>
      <w:r>
        <w:t>Decision:</w:t>
      </w:r>
    </w:p>
    <w:p>
      <w:r>
        <w:t>Vegetation recovery, ecological resilience, forest structural recovery and carbon recovery will be analysed and reported as separate outcomes.</w:t>
      </w:r>
    </w:p>
    <w:p>
      <w:pPr>
        <w:pStyle w:val="Heading2"/>
      </w:pPr>
      <w:r>
        <w:t>Implementation:</w:t>
      </w:r>
    </w:p>
    <w:p>
      <w:r>
        <w:t>1. EVI/NDVI increase will be labelled vegetation-greenness recovery.</w:t>
      </w:r>
    </w:p>
    <w:p>
      <w:r>
        <w:t>2. Forest-class return will be labelled forest-cover recovery.</w:t>
      </w:r>
    </w:p>
    <w:p>
      <w:r>
        <w:t>3. Patch/core/connectivity improvement will represent fragmentation recovery.</w:t>
      </w:r>
    </w:p>
    <w:p>
      <w:r>
        <w:t>4. Biomass change will represent above-ground biomass recovery.</w:t>
      </w:r>
    </w:p>
    <w:p>
      <w:r>
        <w:t>5. Carbon change will be calculated separately from biomass.</w:t>
      </w:r>
    </w:p>
    <w:p>
      <w:r>
        <w:t>6. No EVI ratio will be presented as proof of carbon recovery.</w:t>
      </w:r>
    </w:p>
    <w:p>
      <w:r>
        <w:t>7. Restoration outcomes will be stratified by previous land use, topography and restoration type where data allow.</w:t>
      </w:r>
    </w:p>
    <w:p>
      <w:r>
        <w:t>8. Treated-restored areas will be compared with defensible non-restored or alternative-restoration reference areas.</w:t>
      </w:r>
    </w:p>
    <w:p>
      <w:r>
        <w:t>9. Recovery projections will be reported as scenarios, not guaranteed outcomes.</w:t>
      </w:r>
    </w:p>
    <w:p>
      <w:pPr>
        <w:pStyle w:val="Heading2"/>
      </w:pPr>
      <w:r>
        <w:t>Reason:</w:t>
      </w:r>
    </w:p>
    <w:p>
      <w:r>
        <w:t>P016 demonstrates that recovery and resilience can differ because their denominators and pre-disturbance states differ. Plantation plots can show higher resilience while forest-legacy plots show greater absolute recovery.</w:t>
      </w:r>
    </w:p>
    <w:p>
      <w:pPr>
        <w:pStyle w:val="Heading1"/>
      </w:pPr>
      <w:r>
        <w:t>Decision 020 — Protected-Area Boundary Thresholds Are Diagnostic</w:t>
      </w:r>
    </w:p>
    <w:p>
      <w:pPr>
        <w:pStyle w:val="Heading2"/>
      </w:pPr>
      <w:r>
        <w:t>Decision:</w:t>
      </w:r>
    </w:p>
    <w:p>
      <w:r>
        <w:t>Protected-area-boundary gradients and ecological thresholds will be analysed separately from causal treatment definitions.</w:t>
      </w:r>
    </w:p>
    <w:p>
      <w:pPr>
        <w:pStyle w:val="Heading2"/>
      </w:pPr>
      <w:r>
        <w:t>Implementation:</w:t>
      </w:r>
    </w:p>
    <w:p>
      <w:r>
        <w:t>1. Calculate outcomes at multiple protected-area-boundary distances.</w:t>
      </w:r>
    </w:p>
    <w:p>
      <w:r>
        <w:t>2. Test fine-scale buffers around 100–1000 m where resolution permits.</w:t>
      </w:r>
    </w:p>
    <w:p>
      <w:r>
        <w:t>3. Examine fragmentation, habitat quality, LST and carbon density across the boundary gradient.</w:t>
      </w:r>
    </w:p>
    <w:p>
      <w:r>
        <w:t>4. Treat observed ecological breakpoints as diagnostic thresholds.</w:t>
      </w:r>
    </w:p>
    <w:p>
      <w:r>
        <w:t>5. Do not automatically define the SDID treatment zone from a threshold identified in the outcome data.</w:t>
      </w:r>
    </w:p>
    <w:p>
      <w:r>
        <w:t>6. Lock causal treatment based on ex-ante camp exposure, intervention timing and donor comparability.</w:t>
      </w:r>
    </w:p>
    <w:p>
      <w:r>
        <w:t>7. Use threshold results for conservation zoning and restoration prioritization.</w:t>
      </w:r>
    </w:p>
    <w:p>
      <w:r>
        <w:t>8. Report protected-area leakage and spillover separately.</w:t>
      </w:r>
    </w:p>
    <w:p>
      <w:r>
        <w:t>9. Distinguish observed risk, simulated future risk and causal effect.</w:t>
      </w:r>
    </w:p>
    <w:p>
      <w:pPr>
        <w:pStyle w:val="Heading2"/>
      </w:pPr>
      <w:r>
        <w:t>Reason:</w:t>
      </w:r>
    </w:p>
    <w:p>
      <w:r>
        <w:t>P017 identifies an important 300–500 m ecological transition zone, but spatial threshold identification and causal treatment assignment serve different analytical purposes.</w:t>
      </w:r>
    </w:p>
    <w:p>
      <w:pPr>
        <w:pStyle w:val="Heading1"/>
      </w:pPr>
      <w:r>
        <w:t>Decision 021 — Qualitative Mechanisms Are Supporting Evidence</w:t>
      </w:r>
    </w:p>
    <w:p>
      <w:pPr>
        <w:pStyle w:val="Heading2"/>
      </w:pPr>
      <w:r>
        <w:t>Decision:</w:t>
      </w:r>
    </w:p>
    <w:p>
      <w:r>
        <w:t>Qualitative interviews, reports and governance evidence will be used to interpret environmental mechanisms, not to replace quantitative measurement or causal attribution.</w:t>
      </w:r>
    </w:p>
    <w:p>
      <w:pPr>
        <w:pStyle w:val="Heading2"/>
      </w:pPr>
      <w:r>
        <w:t>Implementation:</w:t>
      </w:r>
    </w:p>
    <w:p>
      <w:r>
        <w:t>1. Separate participant perceptions from remotely measured outcomes.</w:t>
      </w:r>
    </w:p>
    <w:p>
      <w:r>
        <w:t>2. Separate plausible mechanisms from statistically identified effects.</w:t>
      </w:r>
    </w:p>
    <w:p>
      <w:r>
        <w:t>3. Use qualitative evidence to define candidate drivers, hypotheses and interaction pathways.</w:t>
      </w:r>
    </w:p>
    <w:p>
      <w:r>
        <w:t>4. Validate key intervention dates and governance changes using official records where possible.</w:t>
      </w:r>
    </w:p>
    <w:p>
      <w:r>
        <w:t>5. Treat LPG, fencing, resource restrictions and restoration as candidate mechanisms until quantitatively tested.</w:t>
      </w:r>
    </w:p>
    <w:p>
      <w:r>
        <w:t>6. Report refugee and host-community perspectives separately.</w:t>
      </w:r>
    </w:p>
    <w:p>
      <w:r>
        <w:t>7. Avoid collective-blame language.</w:t>
      </w:r>
    </w:p>
    <w:p>
      <w:r>
        <w:t>8. Distinguish population pressure from institutional, market and humanitarian-governance effects.</w:t>
      </w:r>
    </w:p>
    <w:p>
      <w:r>
        <w:t>9. Present SHAP findings as predictive associations.</w:t>
      </w:r>
    </w:p>
    <w:p>
      <w:r>
        <w:t>10. Present SDID findings as causal estimates under stated assumptions.</w:t>
      </w:r>
    </w:p>
    <w:p>
      <w:r>
        <w:t>11. Use qualitative evidence to explain results after, not determine results before, empirical analysis.</w:t>
      </w:r>
    </w:p>
    <w:p>
      <w:r>
        <w:t>12. Record translation, sample-composition and representation limits.</w:t>
      </w:r>
    </w:p>
    <w:p>
      <w:pPr>
        <w:pStyle w:val="Heading2"/>
      </w:pPr>
      <w:r>
        <w:t>Reason:</w:t>
      </w:r>
    </w:p>
    <w:p>
      <w:r>
        <w:t>P018 demonstrates that resource depletion and environmental change arise through interacting survival needs, governance structures, legal distinctions and support systems. These mechanisms are essential for interpretation but are not counterfactual causal estimates.</w:t>
      </w:r>
    </w:p>
    <w:p>
      <w:pPr>
        <w:pStyle w:val="Heading1"/>
      </w:pPr>
      <w:r>
        <w:t>Decision 022 — Thermal Stress Is a Supplementary Outcome</w:t>
      </w:r>
    </w:p>
    <w:p>
      <w:pPr>
        <w:pStyle w:val="Heading2"/>
      </w:pPr>
      <w:r>
        <w:t>Decision:</w:t>
      </w:r>
    </w:p>
    <w:p>
      <w:r>
        <w:t>Land surface temperature will be treated as a supplementary ecological-stress indicator rather than a primary causal outcome.</w:t>
      </w:r>
    </w:p>
    <w:p>
      <w:pPr>
        <w:pStyle w:val="Heading2"/>
      </w:pPr>
      <w:r>
        <w:t>Primary outcomes:</w:t>
      </w:r>
    </w:p>
    <w:p>
      <w:r>
        <w:t>1. Annual forest loss</w:t>
      </w:r>
    </w:p>
    <w:p>
      <w:r>
        <w:t>2. Fragmentation</w:t>
      </w:r>
    </w:p>
    <w:p>
      <w:r>
        <w:t>3. Above-ground biomass/carbon loss</w:t>
      </w:r>
    </w:p>
    <w:p>
      <w:r>
        <w:t>4. SDID-attributable environmental effects</w:t>
      </w:r>
    </w:p>
    <w:p>
      <w:pPr>
        <w:pStyle w:val="Heading2"/>
      </w:pPr>
      <w:r>
        <w:t>Supplementary outcome:</w:t>
      </w:r>
    </w:p>
    <w:p>
      <w:r>
        <w:t>Land surface temperature and thermal-stress distribution</w:t>
      </w:r>
    </w:p>
    <w:p>
      <w:pPr>
        <w:pStyle w:val="Heading2"/>
      </w:pPr>
      <w:r>
        <w:t>Implementation:</w:t>
      </w:r>
    </w:p>
    <w:p>
      <w:r>
        <w:t>1. Use a consistent seasonal acquisition window across years.</w:t>
      </w:r>
    </w:p>
    <w:p>
      <w:r>
        <w:t>2. Prefer analysis-ready Landsat Collection 2 surface-temperature products or a fully documented retrieval workflow.</w:t>
      </w:r>
    </w:p>
    <w:p>
      <w:r>
        <w:t>3. Preserve native thermal-resolution limitations.</w:t>
      </w:r>
    </w:p>
    <w:p>
      <w:r>
        <w:t>4. Do not describe resampled thermal pixels as new fine-resolution temperature information.</w:t>
      </w:r>
    </w:p>
    <w:p>
      <w:r>
        <w:t>5. Apply cloud, shadow and quality-assurance masks consistently.</w:t>
      </w:r>
    </w:p>
    <w:p>
      <w:r>
        <w:t>6. Distinguish air temperature from land surface temperature.</w:t>
      </w:r>
    </w:p>
    <w:p>
      <w:r>
        <w:t>7. Use meteorological data as contextual covariates, not direct pixel-level validation unless temporally and spatially matched.</w:t>
      </w:r>
    </w:p>
    <w:p>
      <w:r>
        <w:t>8. Report gross vegetation loss, net vegetation loss and forest-specific loss separately.</w:t>
      </w:r>
    </w:p>
    <w:p>
      <w:r>
        <w:t>9. Test whether thermal changes persist after accounting for season, rainfall, elevation, built-up cover and background climate.</w:t>
      </w:r>
    </w:p>
    <w:p>
      <w:r>
        <w:t>10. Separate spatial association from causal attribution.</w:t>
      </w:r>
    </w:p>
    <w:p>
      <w:r>
        <w:t>11. Propagate thermal and classification uncertainty where feasible.</w:t>
      </w:r>
    </w:p>
    <w:p>
      <w:r>
        <w:t>12. Do not use Band 11 in quantitative retrieval without a defensible calibration and sensitivity procedure.</w:t>
      </w:r>
    </w:p>
    <w:p>
      <w:pPr>
        <w:pStyle w:val="Heading2"/>
      </w:pPr>
      <w:r>
        <w:t>Reason:</w:t>
      </w:r>
    </w:p>
    <w:p>
      <w:r>
        <w:t>P019 shows a clear spatial association between vegetation loss and higher LST, but its two-date design, broad vegetation class, Band 10/11 averaging and air-temperature comparison do not establish a causal or high-resolution thermal effect.</w:t>
      </w:r>
    </w:p>
    <w:p>
      <w:pPr>
        <w:pStyle w:val="Heading1"/>
      </w:pPr>
      <w:r>
        <w:t>Decision 023 - Evidence Families and Non-Independence Control</w:t>
      </w:r>
    </w:p>
    <w:p>
      <w:pPr>
        <w:pStyle w:val="Heading2"/>
      </w:pPr>
      <w:r>
        <w:t>Decision:</w:t>
      </w:r>
    </w:p>
    <w:p>
      <w:r>
        <w:t>The 19 collected papers (P001-P019) will be organised into 18 evidence families and will not be treated as 19 independent pieces of evidence. Evidence will be weighted by independence, full-text verification, study design and spatial domain.</w:t>
      </w:r>
    </w:p>
    <w:p>
      <w:pPr>
        <w:pStyle w:val="Heading2"/>
      </w:pPr>
      <w:r>
        <w:t>Implementation:</w:t>
      </w:r>
    </w:p>
    <w:p>
      <w:r>
        <w:t>1. P011 and P012 form one overlapping family (F11); their shared forest-loss result (5,488.01 ha = 54.88 km2, 2017-2021) is counted only once (extends Decision 015).</w:t>
      </w:r>
    </w:p>
    <w:p>
      <w:r>
        <w:t>2. Ecosystem-service (ESV) results are kept separate and are not averaged (Decision 014).</w:t>
      </w:r>
    </w:p>
    <w:p>
      <w:r>
        <w:t>3. P007 (Arkhangelsky et al. 2021, Synthetic DiD) is a methodological reference and is excluded from the empirical evidence count.</w:t>
      </w:r>
    </w:p>
    <w:p>
      <w:r>
        <w:t>4. Partial-access papers (P003, P004, P015) are labelled lower-confidence and are excluded from numerical pooling until full-text verification.</w:t>
      </w:r>
    </w:p>
    <w:p>
      <w:r>
        <w:t>5. Descriptive, predictive, qualitative and causal evidence are kept in distinct categories and are not merged into a single pooled estimate.</w:t>
      </w:r>
    </w:p>
    <w:p>
      <w:r>
        <w:t>6. Comparative non-Cox's-Bazar studies (P009, P014, Tanzania) are excluded from Cox's-Bazar numerical pooling and used only as analogues.</w:t>
      </w:r>
    </w:p>
    <w:p>
      <w:r>
        <w:t>7. Proxy / mixed-vegetation results (P013, P019) are excluded from forest-specific pooling; qualitative evidence (P018) is excluded from numerical pooling.</w:t>
      </w:r>
    </w:p>
    <w:p>
      <w:r>
        <w:t>8. P014 and P018 remain separate families but share a consortium lineage (same EO research group); this shared lineage is recorded to avoid treating them as fully independent method development.</w:t>
      </w:r>
    </w:p>
    <w:p>
      <w:r>
        <w:t>9. The two causal studies (P002 DiD; P008 matched DiD event study) are reported separately from descriptive families and are not pooled with descriptive magnitudes.</w:t>
      </w:r>
    </w:p>
    <w:p>
      <w:pPr>
        <w:pStyle w:val="Heading2"/>
      </w:pPr>
      <w:r>
        <w:t>Reason:</w:t>
      </w:r>
    </w:p>
    <w:p>
      <w:r>
        <w:t>Several papers share authors, study areas, periods or results, and some report vegetation rather than forest-specific loss. Counting them as fully independent would overstate the strength and consistency of the evidence base. The evidence-family structure (Evidence_Families and Synthesis_Register sheets in Literature_Review_Matrix.xlsx) makes non-independence, double-count risk and confidence explicit before synthesis and quality appraisal.</w:t>
      </w:r>
    </w:p>
    <w:p>
      <w:pPr>
        <w:pStyle w:val="Heading1"/>
      </w:pPr>
      <w:r>
        <w:t>Decision 024 - Quality, Relevance and Independence Are Separate</w:t>
      </w:r>
    </w:p>
    <w:p>
      <w:pPr>
        <w:pStyle w:val="Heading2"/>
      </w:pPr>
      <w:r>
        <w:t>Decision:</w:t>
      </w:r>
    </w:p>
    <w:p>
      <w:r>
        <w:t>Methodological quality, direct relevance and evidence independence will be assessed separately.</w:t>
      </w:r>
    </w:p>
    <w:p>
      <w:pPr>
        <w:pStyle w:val="Heading2"/>
      </w:pPr>
      <w:r>
        <w:t>Implementation:</w:t>
      </w:r>
    </w:p>
    <w:p>
      <w:r>
        <w:t>1. Score each paper across eight applicable quality domains.</w:t>
      </w:r>
    </w:p>
    <w:p>
      <w:r>
        <w:t>2. Normalize scores using only applicable domains.</w:t>
      </w:r>
    </w:p>
    <w:p>
      <w:r>
        <w:t>3. Cap partial-access papers at Moderate.</w:t>
      </w:r>
    </w:p>
    <w:p>
      <w:r>
        <w:t>4. Do not penalize overlap within the quality score.</w:t>
      </w:r>
    </w:p>
    <w:p>
      <w:r>
        <w:t>5. Record overlap separately through independence status.</w:t>
      </w:r>
    </w:p>
    <w:p>
      <w:r>
        <w:t>6. Do not penalize qualitative or methodological papers for outcomes outside their stated objectives.</w:t>
      </w:r>
    </w:p>
    <w:p>
      <w:r>
        <w:t>7. Keep causal status separate from general quality.</w:t>
      </w:r>
    </w:p>
    <w:p>
      <w:r>
        <w:t>8. Keep comparative relevance separate from methodological quality.</w:t>
      </w:r>
    </w:p>
    <w:p>
      <w:r>
        <w:t>9. Require written justification for every domain score.</w:t>
      </w:r>
    </w:p>
    <w:p>
      <w:r>
        <w:t>10. Use quality tier, relevance and independence jointly during synthesis.</w:t>
      </w:r>
    </w:p>
    <w:p>
      <w:pPr>
        <w:pStyle w:val="Heading2"/>
      </w:pPr>
      <w:r>
        <w:t>Reason:</w:t>
      </w:r>
    </w:p>
    <w:p>
      <w:r>
        <w:t>A high-quality comparative or qualitative paper may not be direct causal evidence, while a highly relevant paper may still have weak temporal or validation design. Keeping these dimensions separate prevents methodological strength, direct Cox's Bazar relevance and non-independence from being conflated during synthesis.</w:t>
      </w:r>
    </w:p>
    <w:p>
      <w:pPr>
        <w:pStyle w:val="Heading1"/>
      </w:pPr>
      <w:r>
        <w:t>Decision 025 - Quality-Weighted Narrative Synthesis</w:t>
      </w:r>
    </w:p>
    <w:p>
      <w:pPr>
        <w:pStyle w:val="Heading2"/>
      </w:pPr>
      <w:r>
        <w:t>Decision:</w:t>
      </w:r>
    </w:p>
    <w:p>
      <w:r>
        <w:t>The reviewed evidence will be synthesised narratively rather than through formal numerical meta-analysis.</w:t>
      </w:r>
    </w:p>
    <w:p>
      <w:pPr>
        <w:pStyle w:val="Heading2"/>
      </w:pPr>
      <w:r>
        <w:t>Implementation:</w:t>
      </w:r>
    </w:p>
    <w:p>
      <w:r>
        <w:t>1. Organise evidence by outcome theme.</w:t>
      </w:r>
    </w:p>
    <w:p>
      <w:r>
        <w:t>2. Weight findings by methodological quality, direct relevance and independence.</w:t>
      </w:r>
    </w:p>
    <w:p>
      <w:r>
        <w:t>3. Prioritise causal evidence for attribution claims.</w:t>
      </w:r>
    </w:p>
    <w:p>
      <w:r>
        <w:t>4. Keep descriptive, predictive and causal results separate.</w:t>
      </w:r>
    </w:p>
    <w:p>
      <w:r>
        <w:t>5. Do not numerically pool heterogeneous forest definitions, spatial domains or observation periods.</w:t>
      </w:r>
    </w:p>
    <w:p>
      <w:r>
        <w:t>6. Count overlapping evidence only once.</w:t>
      </w:r>
    </w:p>
    <w:p>
      <w:r>
        <w:t>7. Keep forest and broad vegetation outcomes separate.</w:t>
      </w:r>
    </w:p>
    <w:p>
      <w:r>
        <w:t>8. Keep gross, net and attributable loss separate.</w:t>
      </w:r>
    </w:p>
    <w:p>
      <w:r>
        <w:t>9. Keep EVI, forest-cover, fragmentation, biomass and carbon recovery separate.</w:t>
      </w:r>
    </w:p>
    <w:p>
      <w:r>
        <w:t>10. Record all important conflicts in an Evidence_Conflicts register.</w:t>
      </w:r>
    </w:p>
    <w:p>
      <w:pPr>
        <w:pStyle w:val="Heading2"/>
      </w:pPr>
      <w:r>
        <w:t>Reason:</w:t>
      </w:r>
    </w:p>
    <w:p>
      <w:r>
        <w:t>The available studies are too heterogeneous in design, scale, outcome definition and temporal coverage for defensible numerical pooling.</w:t>
      </w:r>
    </w:p>
    <w:p>
      <w:pPr>
        <w:pStyle w:val="Heading1"/>
      </w:pPr>
      <w:r>
        <w:t>Decision 026 - Causal, Predictive, Mechanism and Conservation Evidence Must Remain Separate</w:t>
      </w:r>
    </w:p>
    <w:p>
      <w:pPr>
        <w:pStyle w:val="Heading2"/>
      </w:pPr>
      <w:r>
        <w:t>Decision:</w:t>
      </w:r>
    </w:p>
    <w:p>
      <w:r>
        <w:t>Causal estimates, future predictions, qualitative mechanisms and conservation indicators will be synthesised as separate evidence layers.</w:t>
      </w:r>
    </w:p>
    <w:p>
      <w:pPr>
        <w:pStyle w:val="Heading2"/>
      </w:pPr>
      <w:r>
        <w:t>Implementation:</w:t>
      </w:r>
    </w:p>
    <w:p>
      <w:r>
        <w:t>1. Prioritise P002/P008 for existing causal claims.</w:t>
      </w:r>
    </w:p>
    <w:p>
      <w:r>
        <w:t>2. Use P007 only for methodological justification.</w:t>
      </w:r>
    </w:p>
    <w:p>
      <w:r>
        <w:t>3. Do not label scenario projections as causal forecasts.</w:t>
      </w:r>
    </w:p>
    <w:p>
      <w:r>
        <w:t>4. Use qualitative and intervention evidence to explain mechanisms.</w:t>
      </w:r>
    </w:p>
    <w:p>
      <w:r>
        <w:t>5. Treat SHAP as predictive association, not causality.</w:t>
      </w:r>
    </w:p>
    <w:p>
      <w:r>
        <w:t>6. Keep LST, habitat quality and ecological quality supplementary.</w:t>
      </w:r>
    </w:p>
    <w:p>
      <w:r>
        <w:t>7. Use protected areas and corridors for prioritisation.</w:t>
      </w:r>
    </w:p>
    <w:p>
      <w:r>
        <w:t>8. Do not infer wildlife movement solely from spatial overlap.</w:t>
      </w:r>
    </w:p>
    <w:p>
      <w:r>
        <w:t>9. Do not average incompatible causal estimates.</w:t>
      </w:r>
    </w:p>
    <w:p>
      <w:r>
        <w:t>10. Integrate the layers only after their analytical roles are clear.</w:t>
      </w:r>
    </w:p>
    <w:p>
      <w:pPr>
        <w:pStyle w:val="Heading1"/>
      </w:pPr>
      <w:r>
        <w:t>Decision 027 - Novelty Claims Must Be Evidence-Bounded</w:t>
      </w:r>
    </w:p>
    <w:p>
      <w:pPr>
        <w:pStyle w:val="Heading2"/>
      </w:pPr>
      <w:r>
        <w:t>Decision:</w:t>
      </w:r>
    </w:p>
    <w:p>
      <w:r>
        <w:t>Novelty claims will be limited to the reviewed evidence and completed empirical analyses.</w:t>
      </w:r>
    </w:p>
    <w:p>
      <w:pPr>
        <w:pStyle w:val="Heading2"/>
      </w:pPr>
      <w:r>
        <w:t>Implementation:</w:t>
      </w:r>
    </w:p>
    <w:p>
      <w:r>
        <w:t>1. Use “among the reviewed studies” or equivalent language.</w:t>
      </w:r>
    </w:p>
    <w:p>
      <w:r>
        <w:t>2. Do not claim first causal, fragmentation or carbon study.</w:t>
      </w:r>
    </w:p>
    <w:p>
      <w:r>
        <w:t>3. Separate confirmed contributions from conditional proposals.</w:t>
      </w:r>
    </w:p>
    <w:p>
      <w:r>
        <w:t>4. Do not describe data feasibility as completed analysis.</w:t>
      </w:r>
    </w:p>
    <w:p>
      <w:r>
        <w:t>5. Do not claim attributable carbon before SDID and carbon calculations are completed.</w:t>
      </w:r>
    </w:p>
    <w:p>
      <w:r>
        <w:t>6. Do not claim SHAP identifies causal drivers.</w:t>
      </w:r>
    </w:p>
    <w:p>
      <w:r>
        <w:t>7. Do not infer wildlife movement from corridor overlap.</w:t>
      </w:r>
    </w:p>
    <w:p>
      <w:r>
        <w:t>8. Update novelty statements if empirical feasibility changes.</w:t>
      </w:r>
    </w:p>
    <w:p>
      <w:r>
        <w:t>9. Retain an explicit prohibited-wording register.</w:t>
      </w:r>
    </w:p>
    <w:p>
      <w:r>
        <w:t>10. Final claims must match completed results, not planned methods.</w:t>
      </w:r>
    </w:p>
    <w:p>
      <w:pPr>
        <w:pStyle w:val="Heading1"/>
      </w:pPr>
      <w:r>
        <w:t>Decision 028 - Core Research Design Locked After Literature and Data-Feasibility Review</w:t>
      </w:r>
    </w:p>
    <w:p>
      <w:pPr>
        <w:pStyle w:val="Heading2"/>
      </w:pPr>
      <w:r>
        <w:t>Decision:</w:t>
      </w:r>
    </w:p>
    <w:p>
      <w:r>
        <w:t>The core research aim, objectives, questions, analytical roles, primary datasets and causal framework are provisionally locked.</w:t>
      </w:r>
    </w:p>
    <w:p>
      <w:pPr>
        <w:pStyle w:val="Heading2"/>
      </w:pPr>
      <w:r>
        <w:t>Implementation:</w:t>
      </w:r>
    </w:p>
    <w:p>
      <w:r>
        <w:t>1. Use Hansen GFC as the primary annual forest-loss outcome.</w:t>
      </w:r>
    </w:p>
    <w:p>
      <w:r>
        <w:t>2. Use JRC TMF for annual-state and regrowth/degradation validation.</w:t>
      </w:r>
    </w:p>
    <w:p>
      <w:r>
        <w:t>3. Use official and satellite-derived annual camp exposure.</w:t>
      </w:r>
    </w:p>
    <w:p>
      <w:r>
        <w:t>4. Use SDID for causal attribution.</w:t>
      </w:r>
    </w:p>
    <w:p>
      <w:r>
        <w:t>5. Analyse fragmentation annually.</w:t>
      </w:r>
    </w:p>
    <w:p>
      <w:r>
        <w:t>6. Use ESA CCI biomass with uncertainty for carbon estimation.</w:t>
      </w:r>
    </w:p>
    <w:p>
      <w:r>
        <w:t>7. Keep SHAP predictive rather than causal.</w:t>
      </w:r>
    </w:p>
    <w:p>
      <w:r>
        <w:t>8. Use intervention records as mechanism evidence.</w:t>
      </w:r>
    </w:p>
    <w:p>
      <w:r>
        <w:t>9. Keep conservation layers separate from wildlife-movement claims.</w:t>
      </w:r>
    </w:p>
    <w:p>
      <w:r>
        <w:t>10. Reopen the design only if empirical feasibility or validation reveals a major methodological failure.</w:t>
      </w:r>
    </w:p>
    <w:p>
      <w:pPr>
        <w:pStyle w:val="Heading2"/>
      </w:pPr>
      <w:r>
        <w:t>Technical date caveat:</w:t>
      </w:r>
    </w:p>
    <w:p>
      <w:r>
        <w:t>The framework is labelled 2001-2025, but Hansen GFC v1.12 is currently confirmed through 2024. A 2025 annual outcome is conditional on a complete, validated release; it will not be represented as completed data before then.</w:t>
      </w:r>
    </w:p>
    <w:p>
      <w:pPr>
        <w:pStyle w:val="Heading1"/>
      </w:pPr>
      <w:r>
        <w:t>Decision 029 - Literature Phase Verified and Frozen</w:t>
      </w:r>
    </w:p>
    <w:p>
      <w:pPr>
        <w:pStyle w:val="Heading2"/>
      </w:pPr>
      <w:r>
        <w:t>Decision:</w:t>
      </w:r>
    </w:p>
    <w:p>
      <w:r>
        <w:t>The literature review, evidence-family audit, quality appraisal, thematic synthesis, research-gap matrix, novelty controls and research-design alignment have passed the final consistency audit. Literature Phase: Verified and Frozen.</w:t>
      </w:r>
    </w:p>
    <w:p>
      <w:pPr>
        <w:pStyle w:val="Heading2"/>
      </w:pPr>
      <w:r>
        <w:t>Freeze conditions:</w:t>
      </w:r>
    </w:p>
    <w:p>
      <w:r>
        <w:t>The literature phase will only be reopened if:</w:t>
      </w:r>
    </w:p>
    <w:p>
      <w:r>
        <w:t>1. A major empirical feasibility problem changes the design;</w:t>
      </w:r>
    </w:p>
    <w:p>
      <w:r>
        <w:t>2. A critical missing full text materially changes the evidence;</w:t>
      </w:r>
    </w:p>
    <w:p>
      <w:r>
        <w:t>3. A major new publication directly affects the causal or novelty claims.</w:t>
      </w:r>
    </w:p>
    <w:p>
      <w:pPr>
        <w:pStyle w:val="Heading2"/>
      </w:pPr>
      <w:r>
        <w:t>Operational consequence:</w:t>
      </w:r>
    </w:p>
    <w:p>
      <w:r>
        <w:t>The 19 papers will not be re-reviewed, the evidence synthesis will not be reopened, and the objectives/research design will not be changed without one of the stated reopening conditions. Empirical work will proceed under the locked evidence-role, novelty and date-caveat rules.</w:t>
      </w:r>
    </w:p>
    <w:sectPr w:rsidR="00F375FE" w:rsidRPr="00F375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64C6"/>
    <w:rsid w:val="00CB0664"/>
    <w:rsid w:val="00F375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01D90"/>
  <w14:defaultImageDpi w14:val="300"/>
  <w15:docId w15:val="{244059BE-6EEB-4DAF-8079-2B8C97F76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297</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2026-07-12T07:14:00Z</dcterms:modified>
  <cp:category/>
</cp:coreProperties>
</file>