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P015 — Partial Extraction</w:t>
      </w:r>
    </w:p>
    <w:p>
      <w:pPr/>
      <w:r>
        <w:t>Extraction Status:</w:t>
      </w:r>
    </w:p>
    <w:p>
      <w:pPr/>
      <w:r>
        <w:t>Partial extraction based on the official publisher metadata, abstract and accessible article preview.</w:t>
      </w:r>
    </w:p>
    <w:p>
      <w:pPr/>
      <w:r>
        <w:t>The satellite sensor, image dates, classification algorithm, accuracy tables, complete LULC classes, elephant-route analysis and methodological limitations require full-text verification.</w:t>
      </w:r>
    </w:p>
    <w:p>
      <w:pPr>
        <w:pStyle w:val="Heading1"/>
      </w:pPr>
      <w:r>
        <w:t>1. Verified Citation</w:t>
      </w:r>
    </w:p>
    <w:p>
      <w:pPr/>
      <w:r>
        <w:t>Mohiuddin, M., Hossain, M. A., Islam, M. Y., Nowreen, S., &amp; Sultana, N. (2025). Assessing the impact of Land Use Land Cover change after Rohingya forced migration on elephant route in Cox’s Bazar district, Bangladesh. Landscape and Ecological Engineering, 21, 303–319. https://doi.org/10.1007/s11355-025-00642-z</w:t>
      </w:r>
    </w:p>
    <w:p>
      <w:pPr>
        <w:pStyle w:val="Heading1"/>
      </w:pPr>
      <w:r>
        <w:t>2. Publication and Access Status</w:t>
      </w:r>
    </w:p>
    <w:p>
      <w:pPr/>
      <w:r>
        <w:t>Peer-reviewed Original Paper in Landscape and Ecological Engineering, Volume 21, pages 303–319. Published online 8 February 2025; issue date April 2025.</w:t>
      </w:r>
    </w:p>
    <w:p>
      <w:pPr/>
      <w:r>
        <w:t>Access is subscription/paid. The publisher Version of Record is unavailable without institutional login or purchase, so this review is partial rather than full-text.</w:t>
      </w:r>
    </w:p>
    <w:p>
      <w:pPr>
        <w:pStyle w:val="Heading1"/>
      </w:pPr>
      <w:r>
        <w:t>3. Extraction Status</w:t>
      </w:r>
    </w:p>
    <w:p>
      <w:pPr/>
      <w:r>
        <w:t>Partial extraction based on the official publisher metadata, abstract and accessible article preview.</w:t>
      </w:r>
    </w:p>
    <w:p>
      <w:pPr/>
      <w:r>
        <w:t>The satellite sensor, image dates, classification algorithm, accuracy tables, complete LULC classes, elephant-route analysis and methodological limitations require full-text verification.</w:t>
      </w:r>
    </w:p>
    <w:p>
      <w:pPr>
        <w:pStyle w:val="Heading1"/>
      </w:pPr>
      <w:r>
        <w:t>4. Research Objective</w:t>
      </w:r>
    </w:p>
    <w:p>
      <w:pPr/>
      <w:r>
        <w:t>To assess land-use/land-cover change following the Rohingya forced migration and to interpret its implications for the Asian-elephant route in Cox’s Bazar district, Bangladesh.</w:t>
      </w:r>
    </w:p>
    <w:p>
      <w:pPr>
        <w:pStyle w:val="Heading1"/>
      </w:pPr>
      <w:r>
        <w:t>5. Study Area</w:t>
      </w:r>
    </w:p>
    <w:p>
      <w:pPr/>
      <w:r>
        <w:t>Cox’s Bazar District, Bangladesh, focusing on Rohingya-affected landscapes in Ukhiya and Teknaf.</w:t>
      </w:r>
    </w:p>
    <w:p>
      <w:pPr/>
      <w:r>
        <w:t>Quantitative LULC results are specifically reported for Palong Khali Union (Ukhiya Upazila) and Teknaf Municipality.</w:t>
      </w:r>
    </w:p>
    <w:p>
      <w:pPr>
        <w:pStyle w:val="Heading1"/>
      </w:pPr>
      <w:r>
        <w:t>6. Quantitative LULC Analysis Areas</w:t>
      </w:r>
    </w:p>
    <w:p>
      <w:pPr/>
      <w:r>
        <w:t>1. Palong Khali Union, Ukhiya Upazila</w:t>
      </w:r>
    </w:p>
    <w:p>
      <w:pPr/>
      <w:r>
        <w:t>2. Teknaf Municipality</w:t>
      </w:r>
    </w:p>
    <w:p>
      <w:pPr/>
      <w:r>
        <w:t>The paper discusses district-wide environmental and elephant-route problems, but the quantitative results in the accessible abstract are given mainly for these two areas.</w:t>
      </w:r>
    </w:p>
    <w:p>
      <w:pPr>
        <w:pStyle w:val="Heading1"/>
      </w:pPr>
      <w:r>
        <w:t>7. Elephant-Route Context</w:t>
      </w:r>
    </w:p>
    <w:p>
      <w:pPr/>
      <w:r>
        <w:t>The study interprets land-cover change in relation to Asian-elephant movement routes and human–elephant conflict. Route and conflict information is compiled from published materials rather than direct tracking.</w:t>
      </w:r>
    </w:p>
    <w:p>
      <w:pPr>
        <w:pStyle w:val="Heading1"/>
      </w:pPr>
      <w:r>
        <w:t>8. Study Period</w:t>
      </w:r>
    </w:p>
    <w:p>
      <w:pPr/>
      <w:r>
        <w:t>Pre-influx comparison year: 2016. Post-influx comparison year: 2021. Full comparison: 2016–2021. Exact image acquisition dates are not verified.</w:t>
      </w:r>
    </w:p>
    <w:p>
      <w:pPr>
        <w:pStyle w:val="Heading1"/>
      </w:pPr>
      <w:r>
        <w:t>9. Satellite Data — Information Available</w:t>
      </w:r>
    </w:p>
    <w:p>
      <w:pPr/>
      <w:r>
        <w:t>Two pre/post satellite images representing 2016 and 2021. The official abstract confirms a two-date satellite analysis and the use of published documents for elephant-route evidence.</w:t>
      </w:r>
    </w:p>
    <w:p>
      <w:pPr>
        <w:pStyle w:val="Heading1"/>
      </w:pPr>
      <w:r>
        <w:t>10. Satellite Data — Information Pending</w:t>
      </w:r>
    </w:p>
    <w:p>
      <w:pPr/>
      <w:r>
        <w:t>The exact satellite sensor, spatial resolution, image acquisition dates, spectral bands and source platform remain pending full-text access. No sensor, resolution or platform (such as Landsat or Sentinel) is assumed.</w:t>
      </w:r>
    </w:p>
    <w:p>
      <w:pPr>
        <w:pStyle w:val="Heading1"/>
      </w:pPr>
      <w:r>
        <w:t>11. Secondary Documentary Sources</w:t>
      </w:r>
    </w:p>
    <w:p>
      <w:pPr/>
      <w:r>
        <w:t>Elephant-route and human–elephant-conflict information was compiled from published materials, including articles, reports and newspaper/documentary sources.</w:t>
      </w:r>
    </w:p>
    <w:p>
      <w:pPr>
        <w:pStyle w:val="Heading1"/>
      </w:pPr>
      <w:r>
        <w:t>12. GIS and Remote-Sensing Software</w:t>
      </w:r>
    </w:p>
    <w:p>
      <w:pPr/>
      <w:r>
        <w:t>ArcGIS version 10.8; Erdas Imagine version 2014; QGIS version 3.16.16. These software versions are reported in the official abstract.</w:t>
      </w:r>
    </w:p>
    <w:p>
      <w:pPr>
        <w:pStyle w:val="Heading1"/>
      </w:pPr>
      <w:r>
        <w:t>13. LULC Classes — Information Pending</w:t>
      </w:r>
    </w:p>
    <w:p>
      <w:pPr/>
      <w:r>
        <w:t>The complete list of LULC classes is not confirmed from the accessible material. Forest and settlement classes are reported quantitatively; the remaining classes require full-text verification.</w:t>
      </w:r>
    </w:p>
    <w:p>
      <w:pPr>
        <w:pStyle w:val="Heading1"/>
      </w:pPr>
      <w:r>
        <w:t>14. Classification Method — Information Pending</w:t>
      </w:r>
    </w:p>
    <w:p>
      <w:pPr/>
      <w:r>
        <w:t>The exact classifier, preprocessing, training samples, validation and route-overlay procedure remain unverified. Supervised classification, Maximum Likelihood, specific sensors or accuracy values are not assumed.</w:t>
      </w:r>
    </w:p>
    <w:p>
      <w:pPr>
        <w:pStyle w:val="Heading1"/>
      </w:pPr>
      <w:r>
        <w:t>15. Accuracy Assessment — Information Pending</w:t>
      </w:r>
    </w:p>
    <w:p>
      <w:pPr/>
      <w:r>
        <w:t>Overall accuracy, Kappa, user’s accuracy and producer’s accuracy cannot be verified without the full text.</w:t>
      </w:r>
    </w:p>
    <w:p>
      <w:pPr>
        <w:pStyle w:val="Heading1"/>
      </w:pPr>
      <w:r>
        <w:t>16. Palong Khali LULC Findings</w:t>
      </w:r>
    </w:p>
    <w:p>
      <w:pPr/>
      <w:r>
        <w:t>Forest: 2016 = 9,569.10 ha; 2021 = 7,106.72 ha; change = −2,462.38 ha.</w:t>
      </w:r>
    </w:p>
    <w:p>
      <w:pPr/>
      <w:r>
        <w:t>Settlement: 2016 = 1,354.40 ha; 2021 = 3,291.91 ha; change = +1,937.51 ha.</w:t>
      </w:r>
    </w:p>
    <w:p>
      <w:pPr>
        <w:pStyle w:val="Heading1"/>
      </w:pPr>
      <w:r>
        <w:t>17. Teknaf Municipality LULC Findings</w:t>
      </w:r>
    </w:p>
    <w:p>
      <w:pPr/>
      <w:r>
        <w:t>Forest: 2016 = 363.64 ha; 2021 = 269.30 ha; change = −94.34 ha.</w:t>
      </w:r>
    </w:p>
    <w:p>
      <w:pPr/>
      <w:r>
        <w:t>Settlement: 2016 = 151.00 ha; 2021 = 208.14 ha; change = +57.14 ha.</w:t>
      </w:r>
    </w:p>
    <w:p>
      <w:pPr>
        <w:pStyle w:val="Heading1"/>
      </w:pPr>
      <w:r>
        <w:t>18. Forest-Loss Findings</w:t>
      </w:r>
    </w:p>
    <w:p>
      <w:pPr/>
      <w:r>
        <w:t>Between 2016 and 2021, forest cover declined by approximately 2,462.38 ha in Palong Khali Union and by approximately 94.34 ha in Teknaf Municipality.</w:t>
      </w:r>
    </w:p>
    <w:p>
      <w:pPr>
        <w:pStyle w:val="Heading1"/>
      </w:pPr>
      <w:r>
        <w:t>19. Settlement-Expansion Findings</w:t>
      </w:r>
    </w:p>
    <w:p>
      <w:pPr/>
      <w:r>
        <w:t>Between 2016 and 2021, settlement increased by approximately 1,937.51 ha in Palong Khali Union and by approximately 57.14 ha in Teknaf Municipality.</w:t>
      </w:r>
    </w:p>
    <w:p>
      <w:pPr>
        <w:pStyle w:val="Heading1"/>
      </w:pPr>
      <w:r>
        <w:t>20. Elephant-Route Interpretation</w:t>
      </w:r>
    </w:p>
    <w:p>
      <w:pPr/>
      <w:r>
        <w:t>The authors interpret forest conversion, roads, camp structures, markets and related infrastructure as creating pressure on Asian-elephant movement routes. This is a spatial and ecological interpretation, not a validated movement model. Spatial overlap between settlement change and a mapped route does not by itself prove route use or blockage.</w:t>
      </w:r>
    </w:p>
    <w:p>
      <w:pPr>
        <w:pStyle w:val="Heading1"/>
      </w:pPr>
      <w:r>
        <w:t>21. Human–Elephant Conflict Interpretation</w:t>
      </w:r>
    </w:p>
    <w:p>
      <w:pPr/>
      <w:r>
        <w:t>The authors associate unplanned settlement and deforestation with obstruction of elephant movement and increased potential for human–elephant conflict. This interpretation relies substantially on secondary documentary evidence rather than direct tracking or an independently validated conflict dataset.</w:t>
      </w:r>
    </w:p>
    <w:p>
      <w:pPr>
        <w:pStyle w:val="Heading1"/>
      </w:pPr>
      <w:r>
        <w:t>22. Conservation Implications</w:t>
      </w:r>
    </w:p>
    <w:p>
      <w:pPr/>
      <w:r>
        <w:t>The study argues that settlement, roads and supporting infrastructure have increased pressure on forest habitats and elephant movement landscapes.</w:t>
      </w:r>
    </w:p>
    <w:p>
      <w:pPr/>
      <w:r>
        <w:t>It broadens the environmental literature from forest-area loss toward biodiversity, habitat connectivity and human–elephant coexistence.</w:t>
      </w:r>
    </w:p>
    <w:p>
      <w:pPr>
        <w:pStyle w:val="Heading1"/>
      </w:pPr>
      <w:r>
        <w:t>23. Authors’ Recommendations</w:t>
      </w:r>
    </w:p>
    <w:p>
      <w:pPr/>
      <w:r>
        <w:t>The paper recommends refugee repatriation as a conservation and human-safety measure.</w:t>
      </w:r>
    </w:p>
    <w:p>
      <w:pPr/>
      <w:r>
        <w:t>This recommendation is recorded as the authors’ policy position, not adopted as a conclusion of the present research. The proposed study will focus on evidence-based landscape management, restoration, corridor protection, coexistence, risk reduction and causal environmental attribution.</w:t>
      </w:r>
    </w:p>
    <w:p>
      <w:pPr>
        <w:pStyle w:val="Heading1"/>
      </w:pPr>
      <w:r>
        <w:t>24. Author-Stated Limitations — Pending</w:t>
      </w:r>
    </w:p>
    <w:p>
      <w:pPr/>
      <w:r>
        <w:t>The limitations explicitly stated by the authors cannot be confirmed from the accessible material and require full-text verification.</w:t>
      </w:r>
    </w:p>
    <w:p>
      <w:pPr>
        <w:pStyle w:val="Heading1"/>
      </w:pPr>
      <w:r>
        <w:t>25. Limitations Identified by Us</w:t>
      </w:r>
    </w:p>
    <w:p>
      <w:pPr/>
      <w:r>
        <w:t>The study uses only two observation years, 2016 and 2021, and therefore cannot reveal annual disturbance, recovery, intermediate transitions or pre-treatment trends.</w:t>
      </w:r>
    </w:p>
    <w:p>
      <w:pPr/>
      <w:r>
        <w:t>The accessible material does not identify the satellite sensor, exact image dates, spatial resolution, spectral bands, preprocessing procedures or atmospheric correction.</w:t>
      </w:r>
    </w:p>
    <w:p>
      <w:pPr/>
      <w:r>
        <w:t>The classification algorithm, training samples, validation data, overall accuracy, Kappa, user’s accuracy and producer’s accuracy cannot be verified without the full text.</w:t>
      </w:r>
    </w:p>
    <w:p>
      <w:pPr/>
      <w:r>
        <w:t>Quantitative LULC findings are reported for Palong Khali Union and Teknaf Municipality, while the broader conclusions refer to the elephant-route landscape across Cox’s Bazar.</w:t>
      </w:r>
    </w:p>
    <w:p>
      <w:pPr/>
      <w:r>
        <w:t>The elephant-route assessment relies partly on secondary articles, reports and documentary sources rather than direct GPS tracking or an independently validated movement model.</w:t>
      </w:r>
    </w:p>
    <w:p>
      <w:pPr/>
      <w:r>
        <w:t>No formal landscape-connectivity, least-cost-path, circuit-theory, patch, core-area, edge-density or corridor-width metrics are confirmed.</w:t>
      </w:r>
    </w:p>
    <w:p>
      <w:pPr/>
      <w:r>
        <w:t>Spatial overlap between settlement change and a mapped route does not by itself prove route use, route blockage or the causal effect on elephant movement.</w:t>
      </w:r>
    </w:p>
    <w:p>
      <w:pPr/>
      <w:r>
        <w:t>The design lacks a counterfactual control, matching, DiD, event study or SDID analysis.</w:t>
      </w:r>
    </w:p>
    <w:p>
      <w:pPr/>
      <w:r>
        <w:t>The study does not quantify fragmentation, biomass, carbon, CO₂-equivalent loss or measurement uncertainty.</w:t>
      </w:r>
    </w:p>
    <w:p>
      <w:pPr/>
      <w:r>
        <w:t>The casualty figure in the abstract is insufficiently defined and cannot be treated as verified evidence.</w:t>
      </w:r>
    </w:p>
    <w:p>
      <w:pPr/>
      <w:r>
        <w:t>The causal and normative language appears stronger than the two-date observational design can support.</w:t>
      </w:r>
    </w:p>
    <w:p>
      <w:pPr/>
      <w:r>
        <w:t>The publisher full text is unavailable, preventing verification of complete methods, limitations, tables and figures.</w:t>
      </w:r>
    </w:p>
    <w:p>
      <w:pPr>
        <w:pStyle w:val="Heading1"/>
      </w:pPr>
      <w:r>
        <w:t>26. Ambiguous or Unsupported Claims</w:t>
      </w:r>
    </w:p>
    <w:p>
      <w:pPr/>
      <w:r>
        <w:t>The abstract contains an ambiguous claim concerning more than 200 Rohingya deaths.</w:t>
      </w:r>
    </w:p>
    <w:p>
      <w:pPr/>
      <w:r>
        <w:t>This figure will not be used as a verified result because the time period, causal category, primary data source and calculation method cannot be confirmed from the accessible material. Full-text and independent source verification are required.</w:t>
      </w:r>
    </w:p>
    <w:p>
      <w:pPr>
        <w:pStyle w:val="Heading1"/>
      </w:pPr>
      <w:r>
        <w:t>27. Relevance to Our Research</w:t>
      </w:r>
    </w:p>
    <w:p>
      <w:pPr/>
      <w:r>
        <w:t>High for biodiversity and conservation; moderate for forest-change methodology.</w:t>
      </w:r>
    </w:p>
    <w:p>
      <w:pPr/>
      <w:r>
        <w:t>P015 provides verified 2016–2021 forest and settlement changes and motivates including Asian-elephant corridors and habitat connectivity as supplementary conservation-priority layers alongside annual forest loss, fragmentation, carbon density and causal exposure estimates.</w:t>
      </w:r>
    </w:p>
    <w:p>
      <w:pPr>
        <w:pStyle w:val="Heading1"/>
      </w:pPr>
      <w:r>
        <w:t>28. Research Gap</w:t>
      </w:r>
    </w:p>
    <w:p>
      <w:pPr/>
      <w:r>
        <w:t>P015 extends Rohingya-related environmental research toward Asian-elephant routes and conservation consequences, but the accessible evidence remains a two-date LULC comparison combined with documentary route interpretation.</w:t>
      </w:r>
    </w:p>
    <w:p>
      <w:pPr/>
      <w:r>
        <w:t>It does not provide annual corridor-condition monitoring; formal connectivity or fragmentation metrics; GPS-validated elephant movement; counterfactual attribution; spatial-interference analysis; carbon consequences; uncertainty propagation; or integrated conservation-priority modelling.</w:t>
      </w:r>
    </w:p>
    <w:p>
      <w:pPr/>
      <w:r>
        <w:t>The proposed research will not attempt to make unsupported species-movement or mortality claims. Instead, verified elephant corridors, protected forests and habitat-connectivity indicators will be incorporated as conservation-priority layers alongside annual forest loss, fragmentation, carbon density and causal exposure estimates.</w:t>
      </w:r>
    </w:p>
    <w:p>
      <w:pPr>
        <w:pStyle w:val="Heading1"/>
      </w:pPr>
      <w:r>
        <w:t>29. Comparison with P006</w:t>
      </w:r>
    </w:p>
    <w:p>
      <w:pPr/>
      <w:r>
        <w:t>P006 (Mitra et al., 2025) analyses the Rohingya camp landscape with an explicit Random Forest classification in Google Earth Engine and reports formal fragmentation and connectivity metrics for two dates (2016 and 2024).</w:t>
      </w:r>
    </w:p>
    <w:p>
      <w:pPr/>
      <w:r>
        <w:t>P015 also uses a two-date design but for 2016–2021, reporting forest and settlement areas for Palong Khali Union and Teknaf Municipality and interpreting the change in relation to elephant routes and human–elephant conflict.</w:t>
      </w:r>
    </w:p>
    <w:p>
      <w:pPr/>
      <w:r>
        <w:t>Both are descriptive two-date studies without a counterfactual causal design. P006 contributes verified fragmentation metrics, whereas P015 does not confirm a classifier, accuracy statistics or formal fragmentation/connectivity metrics, and its route claims depend substantially on secondary documentary evidence.</w:t>
      </w:r>
    </w:p>
    <w:p>
      <w:pPr>
        <w:pStyle w:val="Heading1"/>
      </w:pPr>
      <w:r>
        <w:t>30. Planned Use in Literature Review</w:t>
      </w:r>
    </w:p>
    <w:p>
      <w:pPr/>
      <w:r>
        <w:t>P015 will be used as supplementary conservation evidence within the biodiversity and elephant-corridor theme, contributing verified 2016–2021 forest and settlement changes for Palong Khali Union and Teknaf Municipality, with a partial-extraction caveat until the full text is obtained.</w:t>
      </w:r>
    </w:p>
    <w:p>
      <w:pPr/>
      <w:r>
        <w:t>Its route-disruption and conflict claims will be reported as the authors’ interpretation, not as verified causal or elephant-movement evidence, and the ambiguous casualty figure will not be used.</w:t>
      </w:r>
    </w:p>
    <w:p>
      <w:pPr>
        <w:pStyle w:val="Heading1"/>
      </w:pPr>
      <w:r>
        <w:t>31. Information Required from Full Text</w:t>
      </w:r>
    </w:p>
    <w:p>
      <w:pPr/>
      <w:r>
        <w:t>Satellite sensor, spatial resolution, image acquisition dates and spectral bands; the complete LULC class scheme; the classification algorithm and preprocessing; training and validation samples; overall accuracy and Kappa; complete LULC results for all classes and areas; the elephant-route analytical and overlay procedure; author-stated limitations; and all tables and figures.</w:t>
      </w:r>
    </w:p>
    <w:p>
      <w:pPr>
        <w:pStyle w:val="Heading1"/>
      </w:pPr>
      <w:r>
        <w:t>32. Important Figures and Tables — Pending</w:t>
      </w:r>
    </w:p>
    <w:p>
      <w:pPr/>
      <w:r>
        <w:t>The complete set of figures and tables, including LULC maps, class-area tables, accuracy tables and route-overlay figures, is unavailable and requires full-text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