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P016 — Full-Text Extraction</w:t>
      </w:r>
    </w:p>
    <w:p>
      <w:pPr>
        <w:pStyle w:val="Heading2"/>
      </w:pPr>
      <w:r>
        <w:t>1. Verified Citation</w:t>
      </w:r>
    </w:p>
    <w:p>
      <w:r>
        <w:t>Chowdhury, F. I., Bhuiyan, R. H., Espelta, J. M., Resco de Dios, V., Dilshad, T., Haque, M. R., Aman, M. A. U., &amp; Lloret, F. (2025). Land-use legacies and tree species richness affect short-term resilience in reforested areas of the world’s largest refugee camp. Ecological Engineering, 215, 107612. https://doi.org/10.1016/j.ecoleng.2025.107612</w:t>
      </w:r>
    </w:p>
    <w:p>
      <w:r>
        <w:t>Affiliations include Universitat Autònoma de Barcelona / CREAF (Spain), University of Chittagong and University of Twente.</w:t>
      </w:r>
    </w:p>
    <w:p>
      <w:pPr>
        <w:pStyle w:val="Heading2"/>
      </w:pPr>
      <w:r>
        <w:t>2. Publication and Access Status</w:t>
      </w:r>
    </w:p>
    <w:p>
      <w:r>
        <w:t>Research Article; peer reviewed: Yes. Open Access.</w:t>
        <w:br/>
        <w:t>Ecological Engineering, Volume 215 (May 2025), article 107612. Available online 22 March 2025.</w:t>
        <w:br/>
        <w:t>Full text: open-access PDF reviewed (9 pages; downloaded from UAB institutional OA copy of the version of record).</w:t>
      </w:r>
    </w:p>
    <w:p>
      <w:pPr>
        <w:pStyle w:val="Heading2"/>
      </w:pPr>
      <w:r>
        <w:t>3. Research Objectives</w:t>
      </w:r>
    </w:p>
    <w:p>
      <w:r>
        <w:t>Evaluate short-term recovery and resilience of reforestation within the Kutupalong refugee-camp landscape using Sentinel-2 EVI dynamics, considering land-use legacy (forest vs plantation), tree-species richness, sapling density and topography.</w:t>
      </w:r>
    </w:p>
    <w:p>
      <w:pPr>
        <w:pStyle w:val="Heading2"/>
      </w:pPr>
      <w:r>
        <w:t>4. Research Hypotheses</w:t>
      </w:r>
    </w:p>
    <w:p>
      <w:r>
        <w:t>Recovery/resilience differ by pre-disturbance land-use legacy; higher tree-species richness enhances recovery; topography (elevation/slope/aspect) and dominant species modulate resilience.</w:t>
      </w:r>
    </w:p>
    <w:p>
      <w:pPr>
        <w:pStyle w:val="Heading2"/>
      </w:pPr>
      <w:r>
        <w:t>5. Study Area</w:t>
      </w:r>
    </w:p>
    <w:p>
      <w:r>
        <w:t>Kutupalong Rohingya refugee-camp landscape, Cox’s Bazar, southeastern Bangladesh. Location ~21.2126° N, 92.1634° E. Camp reported as ~1,454 ha, the world’s largest refugee camp (~one million residents).</w:t>
      </w:r>
    </w:p>
    <w:p>
      <w:pPr>
        <w:pStyle w:val="Heading2"/>
      </w:pPr>
      <w:r>
        <w:t>6. Camp and Reforestation Context</w:t>
      </w:r>
    </w:p>
    <w:p>
      <w:r>
        <w:t>Massive 2017 influx cleared forest/plantation for camps; restoration/reforestation efforts began after the 2018 monsoon and ran through late 2019 in the first phase.</w:t>
      </w:r>
    </w:p>
    <w:p>
      <w:pPr>
        <w:pStyle w:val="Heading2"/>
      </w:pPr>
      <w:r>
        <w:t>7. Reforestation Period</w:t>
      </w:r>
    </w:p>
    <w:p>
      <w:r>
        <w:t>Primary restoration campaign considered: 2018–2019 (post-2018-monsoon planting).</w:t>
      </w:r>
    </w:p>
    <w:p>
      <w:pPr>
        <w:pStyle w:val="Heading2"/>
      </w:pPr>
      <w:r>
        <w:t>8. Plantation Management</w:t>
      </w:r>
    </w:p>
    <w:p>
      <w:r>
        <w:t>Reforestation used planted saplings of multiple species; monospecific Acacia auriculiformis stands common in plantation-legacy plots. Saplings ~1–2 years old, collar diameter ~2–2.5 cm, height &lt; 130 cm at 2023 inventory.</w:t>
      </w:r>
    </w:p>
    <w:p>
      <w:pPr>
        <w:pStyle w:val="Heading2"/>
      </w:pPr>
      <w:r>
        <w:t>9. Study Timeline</w:t>
      </w:r>
    </w:p>
    <w:p>
      <w:r>
        <w:t>Pre-disturbance EVI: January 2017. Immediate post-deforestation EVI: January 2018. LULC classification: January 2017, 2018, 2020. Post-reforestation EVI: January 2020, 2021, 2022, 2023. Field inventory: 2023.</w:t>
      </w:r>
    </w:p>
    <w:p>
      <w:pPr>
        <w:pStyle w:val="Heading2"/>
      </w:pPr>
      <w:r>
        <w:t>10. Sentinel-2 Data</w:t>
      </w:r>
    </w:p>
    <w:p>
      <w:r>
        <w:t>Google Earth Engine; Sentinel-2 Level-1C; cloud threshold &lt; 5%; January composites for 2017, 2018, 2020 (LULC) and 2017–2023 (EVI).</w:t>
      </w:r>
    </w:p>
    <w:p>
      <w:pPr>
        <w:pStyle w:val="Heading2"/>
      </w:pPr>
      <w:r>
        <w:t>11. LULC Classification Years</w:t>
      </w:r>
    </w:p>
    <w:p>
      <w:r>
        <w:t>LULC maps for January 2017, 2018 and 2020.</w:t>
      </w:r>
    </w:p>
    <w:p>
      <w:pPr>
        <w:pStyle w:val="Heading2"/>
      </w:pPr>
      <w:r>
        <w:t>12. Spectral Bands and NDVI</w:t>
      </w:r>
    </w:p>
    <w:p>
      <w:r>
        <w:t>Bands B2–B8, B8A, B11–B12; NDVI from B4 and B8 as an additional predictor.</w:t>
      </w:r>
    </w:p>
    <w:p>
      <w:pPr>
        <w:pStyle w:val="Heading2"/>
      </w:pPr>
      <w:r>
        <w:t>13. Random Forest Classification</w:t>
      </w:r>
    </w:p>
    <w:p>
      <w:r>
        <w:t>Random Forest classifier for six-class LULC in GEE.</w:t>
      </w:r>
    </w:p>
    <w:p>
      <w:pPr>
        <w:pStyle w:val="Heading2"/>
      </w:pPr>
      <w:r>
        <w:t>14. Training and Accuracy Assessment</w:t>
      </w:r>
    </w:p>
    <w:p>
      <w:r>
        <w:t>At least 30 Google Earth training points per class, randomly distributed.</w:t>
        <w:br/>
        <w:t>Accuracy (Table S1): 2017 OA 96% / Kappa 0.95; 2018 OA 85% / Kappa 0.82; 2020 OA 92% / Kappa 0.89.</w:t>
      </w:r>
    </w:p>
    <w:p>
      <w:pPr>
        <w:pStyle w:val="Heading2"/>
      </w:pPr>
      <w:r>
        <w:t>15. LULC Classes</w:t>
      </w:r>
    </w:p>
    <w:p>
      <w:r>
        <w:t>1. Natural forest</w:t>
        <w:br/>
        <w:t>2. Degraded forest</w:t>
        <w:br/>
        <w:t>3. Plantation forest</w:t>
        <w:br/>
        <w:t>4. Settlement</w:t>
        <w:br/>
        <w:t>5. Agriculture</w:t>
        <w:br/>
        <w:t>6. Water body</w:t>
      </w:r>
    </w:p>
    <w:p>
      <w:pPr>
        <w:pStyle w:val="Heading2"/>
      </w:pPr>
      <w:r>
        <w:t>16. Land-Use Legacy Definition</w:t>
      </w:r>
    </w:p>
    <w:p>
      <w:r>
        <w:t>Legacy = pre-disturbance (2017) cover of a reforested plot: natural-forest legacy vs plantation-forest legacy.</w:t>
      </w:r>
    </w:p>
    <w:p>
      <w:pPr>
        <w:pStyle w:val="Heading2"/>
      </w:pPr>
      <w:r>
        <w:t>17. Plot-Selection Procedure</w:t>
      </w:r>
    </w:p>
    <w:p>
      <w:r>
        <w:t>Four steps: (1) 2017 natural-forest/plantation legacy; (2) 2018 deforested area; (3) 2020 reforested area; (4) random plots along the 2017 forest/plantation → 2018 deforested → 2020 reforested trajectory (ArcMap random point selection).</w:t>
      </w:r>
    </w:p>
    <w:p>
      <w:pPr>
        <w:pStyle w:val="Heading2"/>
      </w:pPr>
      <w:r>
        <w:t>18. Field-Sampling Year</w:t>
      </w:r>
    </w:p>
    <w:p>
      <w:r>
        <w:t>Field inventory conducted in 2023.</w:t>
      </w:r>
    </w:p>
    <w:p>
      <w:pPr>
        <w:pStyle w:val="Heading2"/>
      </w:pPr>
      <w:r>
        <w:t>19. Plot Number and Plot Size</w:t>
      </w:r>
    </w:p>
    <w:p>
      <w:r>
        <w:t>188 plots total; 10 × 10 m each. Forest-legacy: 103 plots; plantation-legacy: 85 plots.</w:t>
      </w:r>
    </w:p>
    <w:p>
      <w:pPr>
        <w:pStyle w:val="Heading2"/>
      </w:pPr>
      <w:r>
        <w:t>20. Tree Species Inventory</w:t>
      </w:r>
    </w:p>
    <w:p>
      <w:r>
        <w:t>17 planted species identified across all plots. Forest-legacy: 17 species; plantation-legacy: 15 species.</w:t>
      </w:r>
    </w:p>
    <w:p>
      <w:pPr>
        <w:pStyle w:val="Heading2"/>
      </w:pPr>
      <w:r>
        <w:t>21. Sapling Measurements</w:t>
      </w:r>
    </w:p>
    <w:p>
      <w:r>
        <w:t>Planted species, sapling density, collar diameter, basal area recorded; saplings 1–2 yr, collar 2–2.5 cm, height &lt; 130 cm.</w:t>
      </w:r>
    </w:p>
    <w:p>
      <w:pPr>
        <w:pStyle w:val="Heading2"/>
      </w:pPr>
      <w:r>
        <w:t>22. Important Value Index</w:t>
      </w:r>
    </w:p>
    <w:p>
      <w:r>
        <w:t>Acacia auriculiformis IVI = 22.6% in plantation-legacy plots (followed by Ficus carica IVI 13.5%) vs 4.5% in forest-legacy plots.</w:t>
      </w:r>
    </w:p>
    <w:p>
      <w:pPr>
        <w:pStyle w:val="Heading2"/>
      </w:pPr>
      <w:r>
        <w:t>23. Topographic Measurements</w:t>
      </w:r>
    </w:p>
    <w:p>
      <w:r>
        <w:t>Elevation, slope, aspect recorded per plot.</w:t>
      </w:r>
    </w:p>
    <w:p>
      <w:pPr>
        <w:pStyle w:val="Heading2"/>
      </w:pPr>
      <w:r>
        <w:t>24. EVI Dataset</w:t>
      </w:r>
    </w:p>
    <w:p>
      <w:r>
        <w:t>EVI = 2.5 × (NIR − Red) / (NIR + 6·Red − 7.5·Blue + 1), computed from Sentinel-2 for January 2017, 2018, and 2020–2023.</w:t>
      </w:r>
    </w:p>
    <w:p>
      <w:pPr>
        <w:pStyle w:val="Heading2"/>
      </w:pPr>
      <w:r>
        <w:t>25. Recovery Metric</w:t>
      </w:r>
    </w:p>
    <w:p>
      <w:r>
        <w:t>Recovery = post-disturbance EVI / immediate post-deforestation EVI (2018 baseline).</w:t>
      </w:r>
    </w:p>
    <w:p>
      <w:pPr>
        <w:pStyle w:val="Heading2"/>
      </w:pPr>
      <w:r>
        <w:t>26. Resilience Metric</w:t>
      </w:r>
    </w:p>
    <w:p>
      <w:r>
        <w:t>Resilience = post-disturbance EVI / pre-disturbance EVI (2017 baseline).</w:t>
      </w:r>
    </w:p>
    <w:p>
      <w:pPr>
        <w:pStyle w:val="Heading2"/>
      </w:pPr>
      <w:r>
        <w:t>27. Relative Resilience Metric</w:t>
      </w:r>
    </w:p>
    <w:p>
      <w:r>
        <w:t>Relative Resilience = (post EVI − immediate post-deforestation EVI) / pre-disturbance EVI.</w:t>
        <w:br/>
        <w:t>Resistance was not computed because camp-establishment disturbance was too severe to discriminate meaningfully.</w:t>
      </w:r>
    </w:p>
    <w:p>
      <w:pPr>
        <w:pStyle w:val="Heading2"/>
      </w:pPr>
      <w:r>
        <w:t>28. Linear Mixed Models</w:t>
      </w:r>
    </w:p>
    <w:p>
      <w:r>
        <w:t>LMMs for recovery, resilience, relative resilience. Fixed effects: year, land-use legacy, tree-species richness, sapling density, aspect, slope, elevation. Interactions: year×legacy, legacy×richness, legacy×density, legacy×aspect, legacy×slope, legacy×elevation. Random effect: plot location.</w:t>
      </w:r>
    </w:p>
    <w:p>
      <w:pPr>
        <w:pStyle w:val="Heading2"/>
      </w:pPr>
      <w:r>
        <w:t>29. Model Selection and Diagnostics</w:t>
      </w:r>
    </w:p>
    <w:p>
      <w:r>
        <w:t>Backward selection using AIC threshold of 2 (Burnham et al. 2011); residual autocorrelation and assumptions tested; Tukey HSD post-hoc; R 4.3.2 with lme4/lmer.</w:t>
      </w:r>
    </w:p>
    <w:p>
      <w:pPr>
        <w:pStyle w:val="Heading2"/>
      </w:pPr>
      <w:r>
        <w:t>30. LULC Findings</w:t>
      </w:r>
    </w:p>
    <w:p>
      <w:r>
        <w:t>Area (ha): Forest 595 (2017) → 119 (2018) → 132 (2020); Degraded forest 22 → 31 → 32; Plantation 451 → 51 → 115; Agriculture 331 → 445 → 251; Water 24 → 31 → 13; Settlement 31 → 776 → 909.</w:t>
        <w:br/>
        <w:t>2017–2018: natural forest −80%, plantation −89%; settlement surged. 2018–2020: forest +~10%, plantation +~56% recovery, settlement +~12%.</w:t>
      </w:r>
    </w:p>
    <w:p>
      <w:pPr>
        <w:pStyle w:val="Heading2"/>
      </w:pPr>
      <w:r>
        <w:t>31. Reforestation Findings</w:t>
      </w:r>
    </w:p>
    <w:p>
      <w:r>
        <w:t>Modest forest/plantation class recovery by 2020 following 2018–2019 planting, against continued settlement expansion.</w:t>
      </w:r>
    </w:p>
    <w:p>
      <w:pPr>
        <w:pStyle w:val="Heading2"/>
      </w:pPr>
      <w:r>
        <w:t>32. Recovery Dynamics</w:t>
      </w:r>
    </w:p>
    <w:p>
      <w:r>
        <w:t>Recovery ratio: 2.1 (2020), 1.9 (2021), 2.1 (2022), 2.2 (2023).</w:t>
      </w:r>
    </w:p>
    <w:p>
      <w:pPr>
        <w:pStyle w:val="Heading2"/>
      </w:pPr>
      <w:r>
        <w:t>33. Resilience Dynamics</w:t>
      </w:r>
    </w:p>
    <w:p>
      <w:r>
        <w:t>Resilience: 0.62 (2020), 0.54 (2021), 0.59 (2022), 0.64 (2023) — 2023 value 0.64 indicates incomplete return to 2017 baseline.</w:t>
      </w:r>
    </w:p>
    <w:p>
      <w:pPr>
        <w:pStyle w:val="Heading2"/>
      </w:pPr>
      <w:r>
        <w:t>34. Relative Resilience Dynamics</w:t>
      </w:r>
    </w:p>
    <w:p>
      <w:r>
        <w:t>Relative resilience: 0.24 (2020), 0.16 (2021), 0.21 (2022), 0.26 (2023). Dip in 2021, rebound 2022–2023.</w:t>
      </w:r>
    </w:p>
    <w:p>
      <w:pPr>
        <w:pStyle w:val="Heading2"/>
      </w:pPr>
      <w:r>
        <w:t>35. Forest-Legacy Effects</w:t>
      </w:r>
    </w:p>
    <w:p>
      <w:r>
        <w:t>Forest-legacy plots: higher overall EVI recovery and higher relative resilience 2021–2023; recovery increased with tree-species richness; lower-elevation forest-legacy plots recovered more strongly.</w:t>
      </w:r>
    </w:p>
    <w:p>
      <w:pPr>
        <w:pStyle w:val="Heading2"/>
      </w:pPr>
      <w:r>
        <w:t>36. Plantation-Legacy Effects</w:t>
      </w:r>
    </w:p>
    <w:p>
      <w:r>
        <w:t>Plantation-legacy plots: higher ratio-based resilience relative to their own lower pre-disturbance baseline; higher resilience associated with lower richness, lower elevation and Acacia auriculiformis dominance.</w:t>
      </w:r>
    </w:p>
    <w:p>
      <w:pPr>
        <w:pStyle w:val="Heading2"/>
      </w:pPr>
      <w:r>
        <w:t>37. Tree-Richness Effects</w:t>
      </w:r>
    </w:p>
    <w:p>
      <w:r>
        <w:t>Greater tree-species richness enhanced recovery, especially in forest-legacy plots. Mean richness 1.9 ± 0.05 (forest) vs 2.1 ± 0.04 (plantation) species/plot.</w:t>
      </w:r>
    </w:p>
    <w:p>
      <w:pPr>
        <w:pStyle w:val="Heading2"/>
      </w:pPr>
      <w:r>
        <w:t>38. Elevation and Soil-Legacy Effects</w:t>
      </w:r>
    </w:p>
    <w:p>
      <w:r>
        <w:t>Lower elevation and less-disturbed topsoil associated with stronger recovery/resilience; soil condition inferred, not directly measured.</w:t>
      </w:r>
    </w:p>
    <w:p>
      <w:pPr>
        <w:pStyle w:val="Heading2"/>
      </w:pPr>
      <w:r>
        <w:t>39. Acacia auriculiformis Findings</w:t>
      </w:r>
    </w:p>
    <w:p>
      <w:r>
        <w:t>Fast-growing Acacia auriculiformis dominance drove higher short-term ratio resilience in plantation-legacy monospecific plots (IVI 22.6% vs 4.5% in forest-legacy).</w:t>
      </w:r>
    </w:p>
    <w:p>
      <w:pPr>
        <w:pStyle w:val="Heading2"/>
      </w:pPr>
      <w:r>
        <w:t>40. Expected Recovery Horizon</w:t>
      </w:r>
    </w:p>
    <w:p>
      <w:r>
        <w:t>Authors project full EVI recovery in ~12 more years IF the 2021–2023 recovery rate is maintained — an extrapolation, not a causal/observed outcome.</w:t>
      </w:r>
    </w:p>
    <w:p>
      <w:pPr>
        <w:pStyle w:val="Heading2"/>
      </w:pPr>
      <w:r>
        <w:t>41. Authors’ Interpretation</w:t>
      </w:r>
    </w:p>
    <w:p>
      <w:r>
        <w:t>Restoration is progressing but incomplete; land-use legacy and tree richness shape resilience; mixing native species and considering topography/soil legacy can improve restoration outcomes.</w:t>
      </w:r>
    </w:p>
    <w:p>
      <w:pPr>
        <w:pStyle w:val="Heading2"/>
      </w:pPr>
      <w:r>
        <w:t>42. Policy Recommendations</w:t>
      </w:r>
    </w:p>
    <w:p>
      <w:r>
        <w:t>Favour higher-diversity native planting; account for pre-disturbance legacy, topography and soil condition in restoration design; continue long-term monitoring.</w:t>
      </w:r>
    </w:p>
    <w:p>
      <w:pPr>
        <w:pStyle w:val="Heading2"/>
      </w:pPr>
      <w:r>
        <w:t>43. Author-Stated Limitations</w:t>
      </w:r>
    </w:p>
    <w:p>
      <w:r>
        <w:t>EVI is a greenness/productivity proxy; low plot-level richness; single 2023 field campaign; recovery projection assumes constant rate; data available on request.</w:t>
      </w:r>
    </w:p>
    <w:p>
      <w:pPr>
        <w:pStyle w:val="Heading2"/>
      </w:pPr>
      <w:r>
        <w:t>44. Limitations Identified by Us</w:t>
      </w:r>
    </w:p>
    <w:p>
      <w:r>
        <w:t>• Samples only forest/plantation → deforested → reforested trajectories; no failed/untreated/non-reforested areas.</w:t>
        <w:br/>
        <w:t>• No untreated deforested control — cannot separate planting from natural regeneration, seed bank, rainfall, temporal factors.</w:t>
        <w:br/>
        <w:t>• Only three LULC dates (2017/2018/2020); January-only EVI.</w:t>
        <w:br/>
        <w:t>• Sentinel-2 Level-1C = TOA reflectance; atmospheric-correction details unreported.</w:t>
        <w:br/>
        <w:t>• ≥30 GE training points/class; train/accuracy sample independence unclear; 2018 map weaker (OA 85%/κ 0.82).</w:t>
        <w:br/>
        <w:t>• EVI ≠ tree survival, canopy structure, species composition, biomass, carbon or function.</w:t>
        <w:br/>
        <w:t>• Ratio resilience depends on baseline; plantation-legacy lower baseline eases apparent return.</w:t>
        <w:br/>
        <w:t>• Field data 2023 only; no repeated inventories.</w:t>
        <w:br/>
        <w:t>• 12-yr horizon is extrapolation; low richness; non-randomized planting; legacy/species/soil/elevation confounded; soil inferred.</w:t>
        <w:br/>
        <w:t>• No biomass/carbon/biodiversity/erosion/fragmentation/ES recovery measured; no matching/DiD/SDID; uncertainties not jointly propagated.</w:t>
      </w:r>
    </w:p>
    <w:p>
      <w:pPr>
        <w:pStyle w:val="Heading2"/>
      </w:pPr>
      <w:r>
        <w:t>45. Numerical and Conceptual Issues</w:t>
      </w:r>
    </w:p>
    <w:p>
      <w:r>
        <w:t>Recovery vs resilience diverge because denominators differ (2018 vs 2017 baseline); plantation-legacy shows higher resilience while forest-legacy shows greater absolute recovery. 12-year full-recovery figure is a linear continuation assumption, not measured.</w:t>
      </w:r>
    </w:p>
    <w:p>
      <w:pPr>
        <w:pStyle w:val="Heading2"/>
      </w:pPr>
      <w:r>
        <w:t>46. Relevance to Our Research</w:t>
      </w:r>
    </w:p>
    <w:p>
      <w:r>
        <w:t>Very High — restoration, resilience and land-use-legacy evidence for the exact Kutupalong context; anchors interpretation of the post-2019 recovery phase (Decision 012) and separation of recovery types (Decision 019).</w:t>
      </w:r>
    </w:p>
    <w:p>
      <w:pPr>
        <w:pStyle w:val="Heading2"/>
      </w:pPr>
      <w:r>
        <w:t>47. Research Gap</w:t>
      </w:r>
    </w:p>
    <w:p>
      <w:r>
        <w:t>P016 gives one of the strongest short-term recovery/resilience assessments for Kutupalong via Sentinel-2 EVI, 188 field plots, legacies, richness and topography, but does not estimate annual landscape-wide recovery, counterfactual recovery vs untreated areas, fragmentation recovery, AGB/carbon recovery, biodiversity/connectivity recovery, spatially varying success, long-term planted-species survival, or uncertainty-propagated outcomes. Proposed work will use P016 to interpret post-2019 recovery but will not equate rising EVI with restored mature forest or recovered carbon; annual forest, fragmentation and carbon outcomes stay separate, with causal attribution via SDID.</w:t>
      </w:r>
    </w:p>
    <w:p>
      <w:pPr>
        <w:pStyle w:val="Heading2"/>
      </w:pPr>
      <w:r>
        <w:t>48. Comparison with P005</w:t>
      </w:r>
    </w:p>
    <w:p>
      <w:r>
        <w:t>P005 = field-based biomass/carbon stocks in restored sites; P016 = EVI-based temporal recovery/resilience with legacy, richness and topography. Combined: P005 = how much biomass/carbon currently exists; P016 = how greenness recovered through time and why plots differed. Neither alone gives causal carbon-recovery attribution.</w:t>
      </w:r>
    </w:p>
    <w:p>
      <w:pPr>
        <w:pStyle w:val="Heading2"/>
      </w:pPr>
      <w:r>
        <w:t>49. Comparison with P009 and P014</w:t>
      </w:r>
    </w:p>
    <w:p>
      <w:r>
        <w:t>P009 (Langer 2015): early Lukole recovery note, limited quantification. P014 (Gromny 2024): annual multi-sensor Mtendeli lifecycle + post-closure restoration signals. P016: plot-level + EVI resilience with statistical models for Kutupalong restoration — the most restoration-mechanistic of the three, but still non-causal and greenness-based.</w:t>
      </w:r>
    </w:p>
    <w:p>
      <w:pPr>
        <w:pStyle w:val="Heading2"/>
      </w:pPr>
      <w:r>
        <w:t>50. Planned Use in Literature Review</w:t>
      </w:r>
    </w:p>
    <w:p>
      <w:r>
        <w:t>• Theme Restoration and Resilience: Kutupalong EVI recovery to 0.64 by 2023; LULC 2017–2020.</w:t>
        <w:br/>
        <w:t>• Theme Restoration Drivers: legacy, richness, Acacia dominance, elevation/soil.</w:t>
        <w:br/>
        <w:t>• Critical note: EVI recovery ≠ full ecological/structural/carbon recovery; no untreated control. Supports Decision 019.</w:t>
      </w:r>
    </w:p>
    <w:p>
      <w:pPr>
        <w:pStyle w:val="Heading2"/>
      </w:pPr>
      <w:r>
        <w:t>51. Important Tables and Figures</w:t>
      </w:r>
    </w:p>
    <w:p>
      <w:r>
        <w:t>Table 1 — LULC area 2017/2018/2020</w:t>
        <w:br/>
        <w:t>Table S1 — classification accuracy</w:t>
        <w:br/>
        <w:t>Tables S2–S4 — species list, richness, density, IVI</w:t>
        <w:br/>
        <w:t>Fig. 1 — study area/camp</w:t>
        <w:br/>
        <w:t>Fig. 2 — EVI by legacy over years</w:t>
        <w:br/>
        <w:t>Figs. 3–4 — recovery/resilience/relative-resilience dynamics and model effects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