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P017 — Full-Text Extraction</w:t>
      </w:r>
    </w:p>
    <w:p>
      <w:pPr>
        <w:pStyle w:val="Heading2"/>
      </w:pPr>
      <w:r>
        <w:t>1. Verified Citation</w:t>
      </w:r>
    </w:p>
    <w:p>
      <w:r>
        <w:t>Liu, J., Zevenbergen, C., Lu, J., Qi, Q., Veerbeek, W., Chowdhury, S. W., &amp; Qian, L. (2026). Land-Use Governance of Borderland Protected Areas Under Refugee Expansion and Climate Threats: Evidence from Teknaf, Bangladesh. Land, 15(6), 1024. https://doi.org/10.3390/land15061024</w:t>
      </w:r>
    </w:p>
    <w:p>
      <w:pPr>
        <w:pStyle w:val="Heading2"/>
      </w:pPr>
      <w:r>
        <w:t>2. Publication and Access Status</w:t>
      </w:r>
    </w:p>
    <w:p>
      <w:r>
        <w:t>Research Article; peer reviewed: Yes; Open Access (CC BY). Land, Volume 15, Issue 6, article 1024. Received 20 April 2026; revised 16 May 2026; accepted 25 May 2026; published 10 June 2026. Full text: 21-page open-access version of record reviewed (downloaded from MDPI resource server pub.mdpi-res.com; ~50 MB).</w:t>
      </w:r>
    </w:p>
    <w:p>
      <w:pPr>
        <w:pStyle w:val="Heading2"/>
      </w:pPr>
      <w:r>
        <w:t>3. Research Objectives</w:t>
      </w:r>
    </w:p>
    <w:p>
      <w:r>
        <w:t>Quantify the spatiotemporal impacts of refugee-settlement expansion on habitat quality, surface temperature and vegetation status (2016–2024); identify the ecological threshold and structural–functional coupling at the forest–settlement interface; and develop ecological-restoration planning strategies under a 2036 business-as-usual scenario for the Teknaf Municipality–Teknaf Wildlife Sanctuary (TWS) interface.</w:t>
      </w:r>
    </w:p>
    <w:p>
      <w:pPr>
        <w:pStyle w:val="Heading2"/>
      </w:pPr>
      <w:r>
        <w:t>4. Research Questions</w:t>
      </w:r>
    </w:p>
    <w:p>
      <w:r>
        <w:t>(1) How does refugee-settlement expansion reshape landscape structure and ecological functions at the forest–settlement interface? (2) Is there a critical spatial threshold beyond which fragmentation, heat stress and degradation converge? (3) Under BAU, how will future settlement expansion expose these threshold areas to risk, and what regeneration strategies can mitigate impacts?</w:t>
      </w:r>
    </w:p>
    <w:p>
      <w:pPr>
        <w:pStyle w:val="Heading2"/>
      </w:pPr>
      <w:r>
        <w:t>5. Conceptual Governance Framework</w:t>
      </w:r>
    </w:p>
    <w:p>
      <w:r>
        <w:t>A unified distance-gradient framework couples LULC classification, landscape structural indices, ecological function indicators (HQ, NDVI, LST) and future simulation to move from spatial diagnosis to a threshold-based zoning-management and regenerative-landscape strategy that reconciles conservation with humanitarian needs.</w:t>
      </w:r>
    </w:p>
    <w:p>
      <w:pPr>
        <w:pStyle w:val="Heading2"/>
      </w:pPr>
      <w:r>
        <w:t>6. Study Area</w:t>
      </w:r>
    </w:p>
    <w:p>
      <w:r>
        <w:t>Teknaf Municipality (20°52′ N, 92°17′ E), southeastern tip of Bangladesh, administrative center of Teknaf Upazila; ~8.45 km²; bordered by the Naf River (east, adjacent to Myanmar) and the Teknaf Wildlife Sanctuary (west). Analysis focuses on the municipality–TWS interface.</w:t>
      </w:r>
    </w:p>
    <w:p>
      <w:pPr>
        <w:pStyle w:val="Heading2"/>
      </w:pPr>
      <w:r>
        <w:t>7. Teknaf Wildlife Sanctuary</w:t>
      </w:r>
    </w:p>
    <w:p>
      <w:r>
        <w:t>TWS is the protected area west of the municipality; native forest includes Dipterocarpus turbinatus, D. alatus, Hopea odorata and Anisoptera scaphula, with mangrove and dune ecosystems. Its boundary is the reference origin for gradient buffers.</w:t>
      </w:r>
    </w:p>
    <w:p>
      <w:pPr>
        <w:pStyle w:val="Heading2"/>
      </w:pPr>
      <w:r>
        <w:t>8. Refugee-Settlement Context</w:t>
      </w:r>
    </w:p>
    <w:p>
      <w:r>
        <w:t>Post-2017 Rohingya influx drove extreme, spatially concentrated settlement expansion; firewood consumption ~20.5 kg/household/day, ~347,000 t/yr, with forest resources in the 5 km buffer projected to be depleted within three years (cited).</w:t>
      </w:r>
    </w:p>
    <w:p>
      <w:pPr>
        <w:pStyle w:val="Heading2"/>
      </w:pPr>
      <w:r>
        <w:t>9. Protected-Area Boundary Context</w:t>
      </w:r>
    </w:p>
    <w:p>
      <w:r>
        <w:t>Teknaf Municipality is directly adjacent to TWS, forming a sharp forest–settlement transition interface — treated by the authors as a heterogeneous gradient rather than a homogeneous boundary (the identified research gap).</w:t>
      </w:r>
    </w:p>
    <w:p>
      <w:pPr>
        <w:pStyle w:val="Heading2"/>
      </w:pPr>
      <w:r>
        <w:t>10. Study Timeline</w:t>
      </w:r>
    </w:p>
    <w:p>
      <w:r>
        <w:t>Preinflux phase: 2016. Postinflux phase: 2018, 2020, 2024. Future scenario: 2036. Observed 2016–2024 + 2036 BAU simulation. Field survey 2024–2025; GEE accessed 1 March 2026.</w:t>
      </w:r>
    </w:p>
    <w:p>
      <w:pPr>
        <w:pStyle w:val="Heading2"/>
      </w:pPr>
      <w:r>
        <w:t>11. Analytical Phases</w:t>
      </w:r>
    </w:p>
    <w:p>
      <w:r>
        <w:t>(1) LULC classification &amp; transition (2016–2024); (2) ecological indicators HQ/NDVI/LST; (3) landscape structural indices; (4) gradient analysis from TWS boundary; (5) threshold identification; (6) PLUS 2036 BAU simulation; (7) zoning &amp; regeneration planning.</w:t>
      </w:r>
    </w:p>
    <w:p>
      <w:pPr>
        <w:pStyle w:val="Heading2"/>
      </w:pPr>
      <w:r>
        <w:t>12. Satellite Datasets</w:t>
      </w:r>
    </w:p>
    <w:p>
      <w:r>
        <w:t>All remote sensing processed in Google Earth Engine; dry-season median composites (December–March) to reduce cloud. 2020 imagery Dec 2020–Mar 2021; 2024 imagery Dec 2024–Mar 2025.</w:t>
      </w:r>
    </w:p>
    <w:p>
      <w:pPr>
        <w:pStyle w:val="Heading2"/>
      </w:pPr>
      <w:r>
        <w:t>13. Landsat Data</w:t>
      </w:r>
    </w:p>
    <w:p>
      <w:r>
        <w:t>Landsat 8 OLI/TIRS Collection 2 Level-2 products (30 m) for LST retrieval (thermal bands converted Kelvin→Celsius). Landsat also supports the 2016 preinflux phase (limited Sentinel-2 availability).</w:t>
      </w:r>
    </w:p>
    <w:p>
      <w:pPr>
        <w:pStyle w:val="Heading2"/>
      </w:pPr>
      <w:r>
        <w:t>14. Sentinel-2 Data</w:t>
      </w:r>
    </w:p>
    <w:p>
      <w:r>
        <w:t>Sentinel-2 MSI Level-2A imagery for LULC classification and NDVI in the postinflux phase (2018, 2020, 2024).</w:t>
      </w:r>
    </w:p>
    <w:p>
      <w:pPr>
        <w:pStyle w:val="Heading2"/>
      </w:pPr>
      <w:r>
        <w:t>15. Google Earth and Field Investigation</w:t>
      </w:r>
    </w:p>
    <w:p>
      <w:r>
        <w:t>High-resolution Google Earth imagery for training-sample interpretation; on-site field survey 2024–2025 recording forest–settlement interface and forest-erosion frontiers (e.g., KULAL PARA, KHANKAR DEIL).</w:t>
      </w:r>
    </w:p>
    <w:p>
      <w:pPr>
        <w:pStyle w:val="Heading2"/>
      </w:pPr>
      <w:r>
        <w:t>16. Protected-Area and Settlement Data</w:t>
      </w:r>
    </w:p>
    <w:p>
      <w:r>
        <w:t>World Database on Protected Areas (WDPA) protected-area boundary; settlement/built-up patterns derived from classified LULC and field data.</w:t>
      </w:r>
    </w:p>
    <w:p>
      <w:pPr>
        <w:pStyle w:val="Heading2"/>
      </w:pPr>
      <w:r>
        <w:t>17. Image Preprocessing</w:t>
      </w:r>
    </w:p>
    <w:p>
      <w:r>
        <w:t>GEE median composites over the dry season for temporal consistency; Landsat thermal conversion to Celsius; Sentinel-2 L2A surface reflectance.</w:t>
      </w:r>
    </w:p>
    <w:p>
      <w:pPr>
        <w:pStyle w:val="Heading2"/>
      </w:pPr>
      <w:r>
        <w:t>18. Cloud and Shadow Masking</w:t>
      </w:r>
    </w:p>
    <w:p>
      <w:r>
        <w:t>Sentinel-2 Scene Classification Layer and Landsat QA_PIXEL band used for cloud/shadow masking, supplemented by field investigation.</w:t>
      </w:r>
    </w:p>
    <w:p>
      <w:pPr>
        <w:pStyle w:val="Heading2"/>
      </w:pPr>
      <w:r>
        <w:t>19. LULC Classification</w:t>
      </w:r>
    </w:p>
    <w:p>
      <w:r>
        <w:t>Random Forest (RF) classifier implemented in GEE. A single classifier trained on 2024 Sentinel-2 composites and applied consistently across all time stages to ensure comparability (methodological note: one 2024-trained model applied to all years).</w:t>
      </w:r>
    </w:p>
    <w:p>
      <w:pPr>
        <w:pStyle w:val="Heading2"/>
      </w:pPr>
      <w:r>
        <w:t>20. LULC Classes</w:t>
      </w:r>
    </w:p>
    <w:p>
      <w:r>
        <w:t>Five classes: built-up, cropland, vegetated area, water body, wetland.</w:t>
      </w:r>
    </w:p>
    <w:p>
      <w:pPr>
        <w:pStyle w:val="Heading2"/>
      </w:pPr>
      <w:r>
        <w:t>21. Classification Training Data</w:t>
      </w:r>
    </w:p>
    <w:p>
      <w:r>
        <w:t>445 training samples manually collected via visual interpretation of high-resolution Google Earth and historical Landsat/Sentinel-2 composite images; 70/30 training/validation split.</w:t>
      </w:r>
    </w:p>
    <w:p>
      <w:pPr>
        <w:pStyle w:val="Heading2"/>
      </w:pPr>
      <w:r>
        <w:t>22. Classification Accuracy</w:t>
      </w:r>
    </w:p>
    <w:p>
      <w:r>
        <w:t>Overall accuracy 80.2%; kappa 0.73 (single classifier). Class accuracies: vegetated area 90.0%, built-up 89.7% (the two variables driving the gradient analysis); overall accuracy deemed sufficient for the analysis.</w:t>
      </w:r>
    </w:p>
    <w:p>
      <w:pPr>
        <w:pStyle w:val="Heading2"/>
      </w:pPr>
      <w:r>
        <w:t>23. LULC Change Detection</w:t>
      </w:r>
    </w:p>
    <w:p>
      <w:r>
        <w:t>Multitemporal comparison of class proportions 2016→2018→2020→2024 plus 2036 BAU, with transition/trajectory mapping (Sankey and trajectory maps).</w:t>
      </w:r>
    </w:p>
    <w:p>
      <w:pPr>
        <w:pStyle w:val="Heading2"/>
      </w:pPr>
      <w:r>
        <w:t>24. Transition-Trajectory Analysis</w:t>
      </w:r>
    </w:p>
    <w:p>
      <w:r>
        <w:t>Trajectory mapping shows vegetated area (not cropland) as the primary source of urbanization (e.g., Vegetated Area→Built-up→Built-up→Built-up); wetland→built-up conversions; unstable water-body dynamics; wetland aridification (wetland→vegetated area).</w:t>
      </w:r>
    </w:p>
    <w:p>
      <w:pPr>
        <w:pStyle w:val="Heading2"/>
      </w:pPr>
      <w:r>
        <w:t>25. NDVI Analysis</w:t>
      </w:r>
    </w:p>
    <w:p>
      <w:r>
        <w:t>NDVI from Sentinel-2; 2016 dominated by high NDVI; 2016–2020 relatively stable; by 2024 central NDVI decreased and high-value zones fragmented; 2036 BAU shows extremely fragmented, moderate-vitality state.</w:t>
      </w:r>
    </w:p>
    <w:p>
      <w:pPr>
        <w:pStyle w:val="Heading2"/>
      </w:pPr>
      <w:r>
        <w:t>26. Land Surface Temperature Analysis</w:t>
      </w:r>
    </w:p>
    <w:p>
      <w:r>
        <w:t>LST from Landsat thermal bands. Maximum surface temperature: 35.90 °C (2016), 34.13 °C (2018), 35.62 °C (2020), 35.92 °C (2024); 2036 BAU max rises to 42.06 °C and min falls to 21.68 °C, widening thermal range; UHI network expands with built-up footprint.</w:t>
      </w:r>
    </w:p>
    <w:p>
      <w:pPr>
        <w:pStyle w:val="Heading2"/>
      </w:pPr>
      <w:r>
        <w:t>27. Habitat Quality Analysis</w:t>
      </w:r>
    </w:p>
    <w:p>
      <w:r>
        <w:t>HQ degrades from a coherent ecological matrix (2016, high HQ in western vegetated areas and NE wetlands) to fragmented isolated patches; by 2024 polarization (high/low coexist, medium nearly gone); 2036 BAU dominated by contiguous low-quality patches severing corridors.</w:t>
      </w:r>
    </w:p>
    <w:p>
      <w:pPr>
        <w:pStyle w:val="Heading2"/>
      </w:pPr>
      <w:r>
        <w:t>28. InVEST Habitat Quality Model</w:t>
      </w:r>
    </w:p>
    <w:p>
      <w:r>
        <w:t>InVEST Habitat Quality module version 3.18.0, integrating multitemporal 2016–2024 LULC maps plus spatial ecological-threat layers; used for both historical and 2036 projections.</w:t>
      </w:r>
    </w:p>
    <w:p>
      <w:pPr>
        <w:pStyle w:val="Heading2"/>
      </w:pPr>
      <w:r>
        <w:t>29. Threat Factors and Parameters</w:t>
      </w:r>
    </w:p>
    <w:p>
      <w:r>
        <w:t>Habitat-quality outputs depend on InVEST threat weights, sensitivity values, maximum threat distances and habitat-suitability parameters (built-up/agriculture as principal threats). Exact parameter table not fully enumerated in-text.</w:t>
      </w:r>
    </w:p>
    <w:p>
      <w:pPr>
        <w:pStyle w:val="Heading2"/>
      </w:pPr>
      <w:r>
        <w:t>30. Landscape Pattern Indices</w:t>
      </w:r>
    </w:p>
    <w:p>
      <w:r>
        <w:t>Three landscape structural indices computed per buffer from classified LULC: Patch Density (PD), Largest Patch Index (LPI) and Edge Density (ED) — characterizing fragmentation, connectivity and boundary complexity. (Only these three are used; do not assume others.)</w:t>
      </w:r>
    </w:p>
    <w:p>
      <w:pPr>
        <w:pStyle w:val="Heading2"/>
      </w:pPr>
      <w:r>
        <w:t>31. Fragmentation Metrics</w:t>
      </w:r>
    </w:p>
    <w:p>
      <w:r>
        <w:t>PD peaks at 300 m (241.00) then declines at 500 m (117.49) before rising outward; LPI shows the opposite, peaking at 500 m (38.82) and lower at 300 m/1 km; ED lower between 300–500 m but high at the inner edge (0 m: 317.24). Net: fragmentation peaks at 300 m (high PD, low LPI); partial re-integration at 500 m (PD down, LPI up).</w:t>
      </w:r>
    </w:p>
    <w:p>
      <w:pPr>
        <w:pStyle w:val="Heading2"/>
      </w:pPr>
      <w:r>
        <w:t>32. Gradient-Buffer Design</w:t>
      </w:r>
    </w:p>
    <w:p>
      <w:r>
        <w:t>Concentric buffers from the TWS boundary extending into Teknaf Municipality at 100 m, 300 m, 500 m, 1000 m and 2000 m (five intervals). Inner 0–300 m targets concentrated near-boundary pressure; outer intervals for connectivity/spillover; extends closer (100 m) than the 200–2000 m Southeast-Asian precedent.</w:t>
      </w:r>
    </w:p>
    <w:p>
      <w:pPr>
        <w:pStyle w:val="Heading2"/>
      </w:pPr>
      <w:r>
        <w:t>33. Protected-Area Boundary Gradient</w:t>
      </w:r>
    </w:p>
    <w:p>
      <w:r>
        <w:t>Zonal statistics per buffer for both structural (PD, LPI, ED) and functional (HQ, NDVI, LST) indicators, converting landscape statistics into continuous distance profiles.</w:t>
      </w:r>
    </w:p>
    <w:p>
      <w:pPr>
        <w:pStyle w:val="Heading2"/>
      </w:pPr>
      <w:r>
        <w:t>34. Spatial Threshold Identification</w:t>
      </w:r>
    </w:p>
    <w:p>
      <w:r>
        <w:t>A critical transition zone at ~300–500 m from the TWS boundary where fragmentation intensifies, NDVI and HQ reach their lowest values (HQ trough at 500 m), and LST peaks — the spatial convergence of structural and functional degradation.</w:t>
      </w:r>
    </w:p>
    <w:p>
      <w:pPr>
        <w:pStyle w:val="Heading2"/>
      </w:pPr>
      <w:r>
        <w:t>35. PLUS Land-Use Simulation Model</w:t>
      </w:r>
    </w:p>
    <w:p>
      <w:r>
        <w:t>PLUS (Patch-generating Land Use Simulation) version 1.4.2, on a CA–Markov basis, projecting 2036 LULC under BAU; transition probabilities and driving factors derived from 2016–2024 historical change. Ecological indicators (LST, NDVI, HQ) projected under land-use constraints.</w:t>
      </w:r>
    </w:p>
    <w:p>
      <w:pPr>
        <w:pStyle w:val="Heading2"/>
      </w:pPr>
      <w:r>
        <w:t>36. Driving Factors</w:t>
      </w:r>
    </w:p>
    <w:p>
      <w:r>
        <w:t>Transition probabilities and driving factors derived from historical 2016–2024 land-use change (settlement expansion pressure, proximity, existing land use). Explicit driver-importance ranking not tabulated in-text.</w:t>
      </w:r>
    </w:p>
    <w:p>
      <w:pPr>
        <w:pStyle w:val="Heading2"/>
      </w:pPr>
      <w:r>
        <w:t>37. Model Calibration and Validation</w:t>
      </w:r>
    </w:p>
    <w:p>
      <w:r>
        <w:t>PLUS calibrated on 2016–2024 historical transitions; 2036 projection references 2024 habitat conditions. A numeric PLUS validation statistic (FoM/kappa) is not explicitly reported in the text (verify in figures/supplement).</w:t>
      </w:r>
    </w:p>
    <w:p>
      <w:pPr>
        <w:pStyle w:val="Heading2"/>
      </w:pPr>
      <w:r>
        <w:t>38. 2036 Business-as-Usual Scenario</w:t>
      </w:r>
    </w:p>
    <w:p>
      <w:r>
        <w:t>BAU projects continued built-up consolidation/outward expansion, denser urbanization, cropland increase and fragmentation, peripheral wetland degradation, further HQ polarization, NDVI fragmentation and intensified heat — further isolating TWS.</w:t>
      </w:r>
    </w:p>
    <w:p>
      <w:pPr>
        <w:pStyle w:val="Heading2"/>
      </w:pPr>
      <w:r>
        <w:t>39. Main LULC Findings</w:t>
      </w:r>
    </w:p>
    <w:p>
      <w:r>
        <w:t>2016 proportions: water body 28.52%, vegetated 21.13%, wetland 18.57%, built-up 10.56%, cropland 7.62%. 2018: built-up 22.52% (doubled), wetland 7.59%, water 19.13%, cropland 14.08%, vegetated 23.80%. 2020: built-up 30.57%, vegetated 17.25%. 2024: built-up 31.37% (peak), vegetated 13.73%, cropland ~10.95%.</w:t>
      </w:r>
    </w:p>
    <w:p>
      <w:pPr>
        <w:pStyle w:val="Heading2"/>
      </w:pPr>
      <w:r>
        <w:t>40. Settlement-Expansion Findings</w:t>
      </w:r>
    </w:p>
    <w:p>
      <w:r>
        <w:t>Built-up rose from 10.56% (2016) to 22.52% (2018), 30.57% (2020) and 31.37% (2024), consuming vegetated areas and wetlands; vegetated area, rather than cropland, was the primary source of urbanization.</w:t>
      </w:r>
    </w:p>
    <w:p>
      <w:pPr>
        <w:pStyle w:val="Heading2"/>
      </w:pPr>
      <w:r>
        <w:t>41. Vegetation and Forest Findings</w:t>
      </w:r>
    </w:p>
    <w:p>
      <w:r>
        <w:t>Vegetated area declined sharply after the brief 2018 rise (23.80%) to 17.25% (2020) and 13.73% (2024); high-NDVI forest base fragmented by 2024 and projected to shatter under 2036 BAU.</w:t>
      </w:r>
    </w:p>
    <w:p>
      <w:pPr>
        <w:pStyle w:val="Heading2"/>
      </w:pPr>
      <w:r>
        <w:t>42. Fragmentation Findings</w:t>
      </w:r>
    </w:p>
    <w:p>
      <w:r>
        <w:t>Strong distance-decay centered on TWS with concentrated reorganization in the 300–500 m zone; fragmentation peak at 300 m (PD 241.00), partial integration at 500 m (LPI 38.82); high inner-edge ED (317.24 at 0 m).</w:t>
      </w:r>
    </w:p>
    <w:p>
      <w:pPr>
        <w:pStyle w:val="Heading2"/>
      </w:pPr>
      <w:r>
        <w:t>43. Habitat-Quality Findings</w:t>
      </w:r>
    </w:p>
    <w:p>
      <w:r>
        <w:t>Continuous high-quality habitat (2016) fragmented into isolated edge patches by 2018; further contraction by 2020; polarized high/low coexistence by 2024 with medium class nearly gone; HQ trough at ~500 m in the gradient.</w:t>
      </w:r>
    </w:p>
    <w:p>
      <w:pPr>
        <w:pStyle w:val="Heading2"/>
      </w:pPr>
      <w:r>
        <w:t>44. NDVI Findings</w:t>
      </w:r>
    </w:p>
    <w:p>
      <w:r>
        <w:t>NDVI decreases sharply at 300 m and reaches its lowest value at 500 m (vegetation degradation most severe in the transition zone); recovers beyond ~1 km.</w:t>
      </w:r>
    </w:p>
    <w:p>
      <w:pPr>
        <w:pStyle w:val="Heading2"/>
      </w:pPr>
      <w:r>
        <w:t>45. Heat-Stress and LST Findings</w:t>
      </w:r>
    </w:p>
    <w:p>
      <w:r>
        <w:t>Isolated hot patches (2016) coalesced into a connected UHI network by 2024; LST maximum coincides with minimum NDVI/HQ in the 300–500 m zone; 2036 BAU max 42.06 °C.</w:t>
      </w:r>
    </w:p>
    <w:p>
      <w:pPr>
        <w:pStyle w:val="Heading2"/>
      </w:pPr>
      <w:r>
        <w:t>46. 300–500 m Critical Transition Zone</w:t>
      </w:r>
    </w:p>
    <w:p>
      <w:r>
        <w:t>The paper's headline finding: ~300–500 m from the TWS boundary is where structural fragmentation and functional degradation (habitat, heat, vegetation) converge and the ecological threshold is exceeded — a compressed threshold relative to Uganda/Tanzania/Borneo comparators, reflecting extreme settlement density.</w:t>
      </w:r>
    </w:p>
    <w:p>
      <w:pPr>
        <w:pStyle w:val="Heading2"/>
      </w:pPr>
      <w:r>
        <w:t>47. Future Isolation Risk</w:t>
      </w:r>
    </w:p>
    <w:p>
      <w:r>
        <w:t>Under BAU, continued expansion will isolate TWS by hardening the forest–settlement matrix, blocking ecological corridors and disconnecting NW TWS from the NE region — systematic habitat disintegration by 2036.</w:t>
      </w:r>
    </w:p>
    <w:p>
      <w:pPr>
        <w:pStyle w:val="Heading2"/>
      </w:pPr>
      <w:r>
        <w:t>48. Zoning Management Framework</w:t>
      </w:r>
    </w:p>
    <w:p>
      <w:r>
        <w:t>Threshold-based (not administrative) zoning: Zone 1 = core protected area (HQ &gt; 0.65, TWS interior + adjacent forest); Zone 2 = forest–settlement interface within 500 m of TWS (bounded by the 300–500 m transition zone; main restoration-intervention area); Zone 3 = settlement transformation zone beyond 500 m (built-up 31.37% in 2024).</w:t>
      </w:r>
    </w:p>
    <w:p>
      <w:pPr>
        <w:pStyle w:val="Heading2"/>
      </w:pPr>
      <w:r>
        <w:t>49. Regeneration Landscape Strategy</w:t>
      </w:r>
    </w:p>
    <w:p>
      <w:r>
        <w:t>Zone 1: prevent encroachment/logging, protect corridors, restore water sources, promote natural forest regeneration. Zone 2: green buffers for thermal edge effects, wetland restoration, water-storage repair, ecological monitoring. Zone 3: community agroforestry, firewood plantations + LPG substitution, garden greening/shading, blue-green infrastructure.</w:t>
      </w:r>
    </w:p>
    <w:p>
      <w:pPr>
        <w:pStyle w:val="Heading2"/>
      </w:pPr>
      <w:r>
        <w:t>50. Governance Recommendations</w:t>
      </w:r>
    </w:p>
    <w:p>
      <w:r>
        <w:t>Recalibrate land-use control and buffer design on the 300–500 m interface; embed in existing institutions — Wetland Conservation Act (2000), Forest Department jurisdiction over TWS, and the ISCG/Joint Response Plan (Government of Bangladesh, UNHCR, 117+ humanitarian partners) — for practical, interagency, threshold-based spatial planning.</w:t>
      </w:r>
    </w:p>
    <w:p>
      <w:pPr>
        <w:pStyle w:val="Heading2"/>
      </w:pPr>
      <w:r>
        <w:t>51. Author-Stated Limitations</w:t>
      </w:r>
    </w:p>
    <w:p>
      <w:r>
        <w:t>Analysis uses discrete years rather than a full annual series; a single classifier trained on 2024 imagery; parameter-dependent InVEST/PLUS outputs; BAU is a scenario not a forecast; climate-warming effects not explicitly modeled; recommendations are diagnostic rather than experimentally evaluated.</w:t>
      </w:r>
    </w:p>
    <w:p>
      <w:pPr>
        <w:pStyle w:val="Heading2"/>
      </w:pPr>
      <w:r>
        <w:t>52. Limitations Identified by Us</w:t>
      </w:r>
    </w:p>
    <w:p>
      <w:r>
        <w:t>• Four discrete years; only one (2016) pre-influx observation — no long pre-treatment trend.</w:t>
        <w:br/>
        <w:t>• Temporal associations and spatial gradients, not a constructed counterfactual; 300–500 m is a diagnostic, not a causal treatment boundary.</w:t>
        <w:br/>
        <w:t>• Boundary gradients may confound settlement pressure, roads, elevation, slope, pre-existing land use and accessibility.</w:t>
        <w:br/>
        <w:t>• Landscape indices sensitive to resolution, classification accuracy, extent and class definition; OA 80.2%/κ 0.73 is moderate.</w:t>
        <w:br/>
        <w:t>• Single 2024-trained RF applied to all years risks temporal transfer error; only three structural indices (PD/LPI/ED).</w:t>
        <w:br/>
        <w:t>• HQ depends on InVEST threat weights, sensitivities, max distances, suitability; NDVI is greenness not structure/biomass/carbon; LST sensitive to date/season/moisture/atmosphere.</w:t>
        <w:br/>
        <w:t>• PLUS 2036 is BAU scenario; depends on drivers, transition rules, neighborhood parameters, continuation assumptions; no explicit numeric validation stat.</w:t>
        <w:br/>
        <w:t>• No AGB/carbon/CO2e or uncertainty propagation; no matching/DiD/event study/SDID/spatial causal design; no SHAP; uncertainties not jointly propagated.</w:t>
        <w:br/>
        <w:t>• Governance recommendations not experimentally tested.</w:t>
      </w:r>
    </w:p>
    <w:p>
      <w:pPr>
        <w:pStyle w:val="Heading2"/>
      </w:pPr>
      <w:r>
        <w:t>53. Numerical and Conceptual Issues</w:t>
      </w:r>
    </w:p>
    <w:p>
      <w:r>
        <w:t>The 54.6% forest decrease / 598.5% settlement increase figures are cited from Mitra et al. [15] (our P006), NOT P017's own result — do not misattribute. The single OA 80.2%/κ 0.73 applies to the 2024-trained classifier, not independently to each year. LULC values are proportions (%) of the ~8.45 km² municipality, not absolute forest hectares comparable to camp-scale studies.</w:t>
      </w:r>
    </w:p>
    <w:p>
      <w:pPr>
        <w:pStyle w:val="Heading2"/>
      </w:pPr>
      <w:r>
        <w:t>54. Relevance to Our Research</w:t>
      </w:r>
    </w:p>
    <w:p>
      <w:r>
        <w:t>Very High — the most methodologically integrated direct-Teknaf protected-area study: LULC + fragmentation (PD/LPI/ED) + HQ (InVEST) + NDVI + LST + boundary gradient + threshold + 2036 PLUS + governance zoning. Directly informs protected-area/corridor prioritization and boundary-gradient diagnostics (Decision 020) and reinforces prediction≠causal (Decision 013) and spatial-domain consistency (Decision 016).</w:t>
      </w:r>
    </w:p>
    <w:p>
      <w:pPr>
        <w:pStyle w:val="Heading2"/>
      </w:pPr>
      <w:r>
        <w:t>55. Research Gap</w:t>
      </w:r>
    </w:p>
    <w:p>
      <w:r>
        <w:t>P017 already integrates LULC change, fragmentation, NDVI, LST, HQ, PA buffers, future simulation and governance zoning; the proposed study cannot claim novelty from that combination alone. Contribution must rest on: annual 2001–2025 forest outcomes; a long 2001–2016 pre-treatment panel; time-varying camp exposure; SDID counterfactual attribution; annual fragmentation; attributable above-ground carbon loss; spatial/temporal uncertainty propagation; spatial-block validation; SHAP-based driver interpretation; PA/corridor prioritization; and explicit separation of causal attribution, prediction and governance.</w:t>
      </w:r>
    </w:p>
    <w:p>
      <w:pPr>
        <w:pStyle w:val="Heading2"/>
      </w:pPr>
      <w:r>
        <w:t>56. Comparison with P006</w:t>
      </w:r>
    </w:p>
    <w:p>
      <w:r>
        <w:t>P006 (Mitra et al. 2025) provides the camp-scale forest/settlement/LST change that P017 explicitly cites (54.6% forest loss, 598.5% settlement growth). P017 extends this to a boundary-gradient, threshold and governance framing for the adjacent TWS. Treat the shared statistic as one source (P006), not independent confirmation.</w:t>
      </w:r>
    </w:p>
    <w:p>
      <w:pPr>
        <w:pStyle w:val="Heading2"/>
      </w:pPr>
      <w:r>
        <w:t>57. Comparison with P008</w:t>
      </w:r>
    </w:p>
    <w:p>
      <w:r>
        <w:t>P008 (Salemi 2025 working paper) pursues causal refugee–deforestation attribution; P017 is diagnostic/scenario, not causal. Together they mark the causal-vs-diagnostic divide our SDID design must bridge.</w:t>
      </w:r>
    </w:p>
    <w:p>
      <w:pPr>
        <w:pStyle w:val="Heading2"/>
      </w:pPr>
      <w:r>
        <w:t>58. Comparison with P013</w:t>
      </w:r>
    </w:p>
    <w:p>
      <w:r>
        <w:t>P013 (Ahmed et al. 2024) also uses CA–ANN scenario prediction and LST for the camp landscape; P017 uses PLUS (CA–Markov) with an explicit PA-boundary gradient and InVEST HQ. Both are scenario/diagnostic, non-causal; P017 adds the protected-area threshold and governance dimension.</w:t>
      </w:r>
    </w:p>
    <w:p>
      <w:pPr>
        <w:pStyle w:val="Heading2"/>
      </w:pPr>
      <w:r>
        <w:t>59. Planned Use in Literature Review</w:t>
      </w:r>
    </w:p>
    <w:p>
      <w:r>
        <w:t>• Theme Protected Areas and Boundary Effects: 300–500 m transition zone, PD/LPI/ED gradient, HQ/NDVI/LST convergence.</w:t>
        <w:br/>
        <w:t>• Theme Future Risk and Governance: PLUS 2036 BAU isolation; zoning + regenerative strategy.</w:t>
        <w:br/>
        <w:t>• Critical note: strong diagnostic/scenario evidence but not causal; 300–500 m is an ecological threshold, not the SDID treatment radius. Supports Decision 020.</w:t>
      </w:r>
    </w:p>
    <w:p>
      <w:pPr>
        <w:pStyle w:val="Heading2"/>
      </w:pPr>
      <w:r>
        <w:t>60. Important Tables and Figures</w:t>
      </w:r>
    </w:p>
    <w:p>
      <w:r>
        <w:t>Table 1 — data sources/sensors/dates</w:t>
        <w:br/>
        <w:t>Fig. 2 — analytical framework</w:t>
        <w:br/>
        <w:t>Fig. 3 — study area and five TWS buffers (100/300/500/1000/2000 m)</w:t>
        <w:br/>
        <w:t>Fig. 4 — LULC evolution 2016–2024</w:t>
        <w:br/>
        <w:t>Fig. 5 — transition trajectories</w:t>
        <w:br/>
        <w:t>Fig. 6 — 2036 BAU LULC</w:t>
        <w:br/>
        <w:t>Fig. 7 — habitat quality 2016–2036</w:t>
        <w:br/>
        <w:t>Fig. 8 — NDVI 2016–2036</w:t>
        <w:br/>
        <w:t>Fig. 9 — LST 2016–2036</w:t>
        <w:br/>
        <w:t>Fig. 10 — fragmentation gradient (PD/LPI/ED)</w:t>
        <w:br/>
        <w:t>Fig. 11 — NDVI/LST/HQ gradient profiles</w:t>
        <w:br/>
        <w:t>Fig. 12 — zoning and regenerative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