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P018 — Full-Text Extraction</w:t>
      </w:r>
    </w:p>
    <w:p>
      <w:pPr>
        <w:pStyle w:val="Heading2"/>
      </w:pPr>
      <w:r>
        <w:t>1. Verified Citation</w:t>
      </w:r>
    </w:p>
    <w:p>
      <w:r>
        <w:t>Sobczak-Szelc, K., Chułek, M., Espegren, A., Malak, M. A., Jenerowicz-Sanikowska, M., &amp; Quader, M. A. (2026). Exploring the Role of Common Pool Resources and (Mal)Coping in Socio-Environmental Dynamics: A Case Study of the Kutupalong Refugee Camp, Bangladesh. Journal of Immigrant &amp; Refugee Studies (Latest Article). https://doi.org/10.1080/15562948.2025.2607538</w:t>
      </w:r>
    </w:p>
    <w:p>
      <w:pPr>
        <w:pStyle w:val="Heading2"/>
      </w:pPr>
      <w:r>
        <w:t>2. Publication and Access Status</w:t>
      </w:r>
    </w:p>
    <w:p>
      <w:r>
        <w:t>Research Article; peer reviewed: Yes; Open Access (CC BY-NC-ND 4.0). Journal of Immigrant &amp; Refugee Studies. Published online 22 February 2026 (matrix year 2026, although the DOI suffix carries 2025). Final volume/issue not yet assigned at review. Full text reviewed from the official open-access HTML version of record; the Taylor &amp; Francis binary PDF was Cloudflare-blocked at review time, so a working archival placeholder was saved and should be replaced with the official PDF when available.</w:t>
      </w:r>
    </w:p>
    <w:p>
      <w:pPr>
        <w:pStyle w:val="Heading2"/>
      </w:pPr>
      <w:r>
        <w:t>3. Research Purpose</w:t>
      </w:r>
    </w:p>
    <w:p>
      <w:r>
        <w:t>To analyse Kutupalong not as an isolated humanitarian site but as an integrated socio-ecological system, examining how the refugee influx reshaped access to common-pool resources (land, forest/wood, firewood, water) and how coping strategies, camp governance and institutional arrangements co-evolved with environmental change.</w:t>
      </w:r>
    </w:p>
    <w:p>
      <w:pPr>
        <w:pStyle w:val="Heading2"/>
      </w:pPr>
      <w:r>
        <w:t>4. Research Questions</w:t>
      </w:r>
    </w:p>
    <w:p>
      <w:r>
        <w:t>1. What was the state of the natural environment before the refugee influx, and how did the host community use resources?</w:t>
        <w:br/>
        <w:t>2. How did population growth, camp establishment and the camp-management system change access to wood, land and water?</w:t>
        <w:br/>
        <w:t>3. What lessons for sustainable resource management emerge from how support was distributed among refugees, host communities and the environmental system?</w:t>
      </w:r>
    </w:p>
    <w:p>
      <w:pPr>
        <w:pStyle w:val="Heading2"/>
      </w:pPr>
      <w:r>
        <w:t>5. Theoretical Orientation</w:t>
      </w:r>
    </w:p>
    <w:p>
      <w:r>
        <w:t>Combines common-pool resource (CPR) theory, socio-ecological systems thinking, transformative adaptation and adaptive governance, plus the coping/(mal)coping distinction, to interpret resource dynamics.</w:t>
      </w:r>
    </w:p>
    <w:p>
      <w:pPr>
        <w:pStyle w:val="Heading2"/>
      </w:pPr>
      <w:r>
        <w:t>6. Integrated Socio-Ecological Systems</w:t>
      </w:r>
    </w:p>
    <w:p>
      <w:r>
        <w:t>Treats the camp, refugees, host communities, humanitarian organisations, state institutions and the natural resource base (land, forest, wood, water) as one interacting system in which social and ecological changes are mutually constitutive.</w:t>
      </w:r>
    </w:p>
    <w:p>
      <w:pPr>
        <w:pStyle w:val="Heading2"/>
      </w:pPr>
      <w:r>
        <w:t>7. Common-Pool Resources</w:t>
      </w:r>
    </w:p>
    <w:p>
      <w:r>
        <w:t>Land, forest and wood, firewood/cooking fuel, water and other forest-derived livelihood/food resources are analysed as CPRs whose immediate benefits accrue to individual households/groups while the ecological costs of overuse are borne by both refugees and hosts.</w:t>
      </w:r>
    </w:p>
    <w:p>
      <w:pPr>
        <w:pStyle w:val="Heading2"/>
      </w:pPr>
      <w:r>
        <w:t>8. Transformative Adaptation</w:t>
      </w:r>
    </w:p>
    <w:p>
      <w:r>
        <w:t>Frames long-term resource-management change (beyond incremental coping) toward reorganised governance and restoration as a form of transformative adaptation.</w:t>
      </w:r>
    </w:p>
    <w:p>
      <w:pPr>
        <w:pStyle w:val="Heading2"/>
      </w:pPr>
      <w:r>
        <w:t>9. Adaptive Governance</w:t>
      </w:r>
    </w:p>
    <w:p>
      <w:r>
        <w:t>Emphasises flexible, multi-actor governance of shared resources; institutional fragmentation and legal differentiation are shown to undermine effective adaptive governance.</w:t>
      </w:r>
    </w:p>
    <w:p>
      <w:pPr>
        <w:pStyle w:val="Heading2"/>
      </w:pPr>
      <w:r>
        <w:t>10. Coping and (Mal)Coping</w:t>
      </w:r>
    </w:p>
    <w:p>
      <w:r>
        <w:t>Coping = strategies meeting immediate survival needs; (mal)coping = strategies that meet short-term needs but damage the environment, resource availability or socio-environmental stability over time (e.g., firewood collection meeting cooking needs while depleting forest resources).</w:t>
      </w:r>
    </w:p>
    <w:p>
      <w:pPr>
        <w:pStyle w:val="Heading2"/>
      </w:pPr>
      <w:r>
        <w:t>11. Study Area</w:t>
      </w:r>
    </w:p>
    <w:p>
      <w:r>
        <w:t>Kutupalong Registered Camp and the Kutupalong–Balukhali expansion, Ukhiya, Cox’s Bazar, Bangladesh, including refugee settlements, neighbouring host communities and the surrounding forest/land/water system.</w:t>
      </w:r>
    </w:p>
    <w:p>
      <w:pPr>
        <w:pStyle w:val="Heading2"/>
      </w:pPr>
      <w:r>
        <w:t>12. Kutupalong Registered Camp</w:t>
      </w:r>
    </w:p>
    <w:p>
      <w:r>
        <w:t>The older registered camp component, with a longer institutional and land-use history predating the 2017 mass influx.</w:t>
      </w:r>
    </w:p>
    <w:p>
      <w:pPr>
        <w:pStyle w:val="Heading2"/>
      </w:pPr>
      <w:r>
        <w:t>13. Kutupalong–Balukhali Expansion</w:t>
      </w:r>
    </w:p>
    <w:p>
      <w:r>
        <w:t>The rapidly established post-2017 expansion that dramatically increased population and resource demand across the landscape.</w:t>
      </w:r>
    </w:p>
    <w:p>
      <w:pPr>
        <w:pStyle w:val="Heading2"/>
      </w:pPr>
      <w:r>
        <w:t>14. Camp and Host-Community Context</w:t>
      </w:r>
    </w:p>
    <w:p>
      <w:r>
        <w:t>The analysis foregrounds interactions among refugees, host communities, supporting organisations and the environment, rather than treating the camp in isolation.</w:t>
      </w:r>
    </w:p>
    <w:p>
      <w:pPr>
        <w:pStyle w:val="Heading2"/>
      </w:pPr>
      <w:r>
        <w:t>15. Qualitative Research Design</w:t>
      </w:r>
    </w:p>
    <w:p>
      <w:r>
        <w:t>Semi-structured, in-depth interviews with experts, refugees and host-community members, analysed thematically; supplemented by illustrative Sentinel-2 imagery. Not a quantitative household survey.</w:t>
      </w:r>
    </w:p>
    <w:p>
      <w:pPr>
        <w:pStyle w:val="Heading2"/>
      </w:pPr>
      <w:r>
        <w:t>16. Expert Interviews</w:t>
      </w:r>
    </w:p>
    <w:p>
      <w:r>
        <w:t>12 expert interviews: international and local organisations (n=6), academia (n=2), Bangladeshi institutions (n=4). Conducted in English.</w:t>
      </w:r>
    </w:p>
    <w:p>
      <w:pPr>
        <w:pStyle w:val="Heading2"/>
      </w:pPr>
      <w:r>
        <w:t>17. Refugee Interviews</w:t>
      </w:r>
    </w:p>
    <w:p>
      <w:r>
        <w:t>15 Rohingya refugees, mostly men (n=13), aged 35–65 (reflecting cultural factors and willingness to participate). Conducted in Rohingya via interpreter.</w:t>
      </w:r>
    </w:p>
    <w:p>
      <w:pPr>
        <w:pStyle w:val="Heading2"/>
      </w:pPr>
      <w:r>
        <w:t>18. Host-Community Interviews</w:t>
      </w:r>
    </w:p>
    <w:p>
      <w:r>
        <w:t>7 host-community representatives living near the Kutupalong–Balukhali camp, mostly men (n=5), aged 16–35 (n=4) and 35–65 (n=3). Conducted in Bengali via interpreter.</w:t>
      </w:r>
    </w:p>
    <w:p>
      <w:pPr>
        <w:pStyle w:val="Heading2"/>
      </w:pPr>
      <w:r>
        <w:t>19. Participant Characteristics</w:t>
      </w:r>
    </w:p>
    <w:p>
      <w:r>
        <w:t>Total 34 interviews (12 experts + 15 refugees + 7 hosts). Refugee and host samples are strongly male-dominated, limiting representation of women’s resource-use, fuel-collection, water-access and care responsibilities.</w:t>
      </w:r>
    </w:p>
    <w:p>
      <w:pPr>
        <w:pStyle w:val="Heading2"/>
      </w:pPr>
      <w:r>
        <w:t>20. Sub-Camp Coverage</w:t>
      </w:r>
    </w:p>
    <w:p>
      <w:r>
        <w:t>Refugee interviews covered eight sub-camps: 1E, 2W, 4 Extension, 5, 8E, 15, 19 and 20 Extension — a partial (not full) cross-section of the Kutupalong–Balukhali population.</w:t>
      </w:r>
    </w:p>
    <w:p>
      <w:pPr>
        <w:pStyle w:val="Heading2"/>
      </w:pPr>
      <w:r>
        <w:t>21. Interview Languages</w:t>
      </w:r>
    </w:p>
    <w:p>
      <w:r>
        <w:t>Experts: English; refugees: Rohingya; host community: Bengali.</w:t>
      </w:r>
    </w:p>
    <w:p>
      <w:pPr>
        <w:pStyle w:val="Heading2"/>
      </w:pPr>
      <w:r>
        <w:t>22. Translation and Interpretation</w:t>
      </w:r>
    </w:p>
    <w:p>
      <w:r>
        <w:t>Refugee and host-community interviews used interpreters; all interviews were translated into English, which may affect nuance/meaning preservation.</w:t>
      </w:r>
    </w:p>
    <w:p>
      <w:pPr>
        <w:pStyle w:val="Heading2"/>
      </w:pPr>
      <w:r>
        <w:t>23. Recording and Transcription</w:t>
      </w:r>
    </w:p>
    <w:p>
      <w:r>
        <w:t>Interviews recorded with consent, transcribed and translated into English.</w:t>
      </w:r>
    </w:p>
    <w:p>
      <w:pPr>
        <w:pStyle w:val="Heading2"/>
      </w:pPr>
      <w:r>
        <w:t>24. NVivo Analysis</w:t>
      </w:r>
    </w:p>
    <w:p>
      <w:r>
        <w:t>NVivo software used for qualitative data analysis and thematic/pattern identification.</w:t>
      </w:r>
    </w:p>
    <w:p>
      <w:pPr>
        <w:pStyle w:val="Heading2"/>
      </w:pPr>
      <w:r>
        <w:t>25. Remote-Sensing Contribution</w:t>
      </w:r>
    </w:p>
    <w:p>
      <w:r>
        <w:t>Supplementary and illustrative only: false-colour Sentinel-2 (ESA) composites (healthy vegetation appears bright red) used to visually illustrate vegetation-cover change. No trained classifier, training/validation samples, overall accuracy, kappa, quantified forest-loss area, fragmentation metric or causal estimator is reported.</w:t>
      </w:r>
    </w:p>
    <w:p>
      <w:pPr>
        <w:pStyle w:val="Heading2"/>
      </w:pPr>
      <w:r>
        <w:t>26. Sentinel-2 Image Dates</w:t>
      </w:r>
    </w:p>
    <w:p>
      <w:r>
        <w:t>Pre-influx: 5 January 2016; post-influx: 4 January 2019; later condition: 23 January 2022 (EPSG:32646).</w:t>
      </w:r>
    </w:p>
    <w:p>
      <w:pPr>
        <w:pStyle w:val="Heading2"/>
      </w:pPr>
      <w:r>
        <w:t>27. Pre-Influx Environmental Conditions</w:t>
      </w:r>
    </w:p>
    <w:p>
      <w:r>
        <w:t>Before the influx, host communities used surrounding forest, land and water resources; the early camp period even offered some opportunities to cultivate land within the camp to supplement resources.</w:t>
      </w:r>
    </w:p>
    <w:p>
      <w:pPr>
        <w:pStyle w:val="Heading2"/>
      </w:pPr>
      <w:r>
        <w:t>28. Land as a Common-Pool Resource</w:t>
      </w:r>
    </w:p>
    <w:p>
      <w:r>
        <w:t>Land access has been an issue since the camp’s establishment; competition and restrictions on cultivation/land use shaped livelihoods and resource strategies.</w:t>
      </w:r>
    </w:p>
    <w:p>
      <w:pPr>
        <w:pStyle w:val="Heading2"/>
      </w:pPr>
      <w:r>
        <w:t>29. Forest and Wood Resources</w:t>
      </w:r>
    </w:p>
    <w:p>
      <w:r>
        <w:t>Forest and wood are central CPRs; extraction for shelter construction and fuel drove depletion, intensified by rapid population growth.</w:t>
      </w:r>
    </w:p>
    <w:p>
      <w:pPr>
        <w:pStyle w:val="Heading2"/>
      </w:pPr>
      <w:r>
        <w:t>30. Firewood and Cooking-Fuel Access</w:t>
      </w:r>
    </w:p>
    <w:p>
      <w:r>
        <w:t>Insufficient/inconsistent LPG supply was reported as a reason some households continued collecting firewood — a key (mal)coping pathway linking cooking-fuel access to forest pressure.</w:t>
      </w:r>
    </w:p>
    <w:p>
      <w:pPr>
        <w:pStyle w:val="Heading2"/>
      </w:pPr>
      <w:r>
        <w:t>31. Water Access</w:t>
      </w:r>
    </w:p>
    <w:p>
      <w:r>
        <w:t>Water is a shared resource whose availability and quality changed under population pressure and camp infrastructure, affecting both refugees and hosts.</w:t>
      </w:r>
    </w:p>
    <w:p>
      <w:pPr>
        <w:pStyle w:val="Heading2"/>
      </w:pPr>
      <w:r>
        <w:t>32. Camp-Management System</w:t>
      </w:r>
    </w:p>
    <w:p>
      <w:r>
        <w:t>Camp establishment and management rules restructured who could access which resources, when and where — a governance determinant of environmental outcomes.</w:t>
      </w:r>
    </w:p>
    <w:p>
      <w:pPr>
        <w:pStyle w:val="Heading2"/>
      </w:pPr>
      <w:r>
        <w:t>33. Institutional Fragmentation</w:t>
      </w:r>
    </w:p>
    <w:p>
      <w:r>
        <w:t>Multiple organisations and overlapping mandates produced fragmented governance, weakening coordinated resource management.</w:t>
      </w:r>
    </w:p>
    <w:p>
      <w:pPr>
        <w:pStyle w:val="Heading2"/>
      </w:pPr>
      <w:r>
        <w:t>34. Legal and Administrative Differentiation</w:t>
      </w:r>
    </w:p>
    <w:p>
      <w:r>
        <w:t>Different legal/administrative statuses of refugees vs hosts differentiated resource rights and access, shaping tensions and environmental pressure.</w:t>
      </w:r>
    </w:p>
    <w:p>
      <w:pPr>
        <w:pStyle w:val="Heading2"/>
      </w:pPr>
      <w:r>
        <w:t>35. Refugee–Host Resource Relations</w:t>
      </w:r>
    </w:p>
    <w:p>
      <w:r>
        <w:t>Relations shifted as scarcity, restrictions and perceived inequities in assistance altered access to shared environmental resources.</w:t>
      </w:r>
    </w:p>
    <w:p>
      <w:pPr>
        <w:pStyle w:val="Heading2"/>
      </w:pPr>
      <w:r>
        <w:t>36. Immediate Coping Strategies</w:t>
      </w:r>
    </w:p>
    <w:p>
      <w:r>
        <w:t>Resource extraction for shelter, fuel and subsistence met urgent survival needs in the early, high-pressure period.</w:t>
      </w:r>
    </w:p>
    <w:p>
      <w:pPr>
        <w:pStyle w:val="Heading2"/>
      </w:pPr>
      <w:r>
        <w:t>37. Environmentally Harmful (Mal)Coping</w:t>
      </w:r>
    </w:p>
    <w:p>
      <w:r>
        <w:t>Some coping strategies evolved into (mal)coping — meeting short-term needs while degrading forest, land and water over the longer term.</w:t>
      </w:r>
    </w:p>
    <w:p>
      <w:pPr>
        <w:pStyle w:val="Heading2"/>
      </w:pPr>
      <w:r>
        <w:t>38. Resource-Management Transformation</w:t>
      </w:r>
    </w:p>
    <w:p>
      <w:r>
        <w:t>Governance moved from shared access through overexploitation and exclusion toward selective reconstruction and revised management.</w:t>
      </w:r>
    </w:p>
    <w:p>
      <w:pPr>
        <w:pStyle w:val="Heading2"/>
      </w:pPr>
      <w:r>
        <w:t>39. Four-Phase Governance Transformation</w:t>
      </w:r>
    </w:p>
    <w:p>
      <w:r>
        <w:t>Phase 1: initial access and coexistence around shared resources. Phase 2: rapid population increase, severe pressure and overuse. Phase 3: restrictions, formalised exclusion and environmental degradation. Phase 4: selective reconstruction, restoration and revised governance. These are interview- and institution-based socio-environmental phases, not exact annual land-cover periods.</w:t>
      </w:r>
    </w:p>
    <w:p>
      <w:pPr>
        <w:pStyle w:val="Heading2"/>
      </w:pPr>
      <w:r>
        <w:t>40. Environmental Degradation</w:t>
      </w:r>
    </w:p>
    <w:p>
      <w:r>
        <w:t>Deforestation, land degradation and resource depletion followed rapid settlement, shaped jointly by population pressure and governance/institutional factors.</w:t>
      </w:r>
    </w:p>
    <w:p>
      <w:pPr>
        <w:pStyle w:val="Heading2"/>
      </w:pPr>
      <w:r>
        <w:t>41. Restriction and Exclusion</w:t>
      </w:r>
    </w:p>
    <w:p>
      <w:r>
        <w:t>Formalised restrictions and exclusion from certain resources (Phase 3) altered coping options and refugee–host dynamics.</w:t>
      </w:r>
    </w:p>
    <w:p>
      <w:pPr>
        <w:pStyle w:val="Heading2"/>
      </w:pPr>
      <w:r>
        <w:t>42. Reconstruction and Restoration</w:t>
      </w:r>
    </w:p>
    <w:p>
      <w:r>
        <w:t>Selective reconstruction, reforestation/restoration and revised governance (Phase 4) partially addressed degradation, discussed qualitatively rather than measured.</w:t>
      </w:r>
    </w:p>
    <w:p>
      <w:pPr>
        <w:pStyle w:val="Heading2"/>
      </w:pPr>
      <w:r>
        <w:t>43. Distribution of Humanitarian Support</w:t>
      </w:r>
    </w:p>
    <w:p>
      <w:r>
        <w:t>Unequal distribution of support among refugees and hosts influenced both environmental outcomes and inter-community relations.</w:t>
      </w:r>
    </w:p>
    <w:p>
      <w:pPr>
        <w:pStyle w:val="Heading2"/>
      </w:pPr>
      <w:r>
        <w:t>44. Adaptive-Governance Recommendations</w:t>
      </w:r>
    </w:p>
    <w:p>
      <w:r>
        <w:t>Calls for coordinated, less-fragmented, more adaptive governance of shared resources that accounts for both refugee and host needs.</w:t>
      </w:r>
    </w:p>
    <w:p>
      <w:pPr>
        <w:pStyle w:val="Heading2"/>
      </w:pPr>
      <w:r>
        <w:t>45. Transformative-Adaptation Implications</w:t>
      </w:r>
    </w:p>
    <w:p>
      <w:r>
        <w:t>Suggests moving beyond short-term coping toward transformative adaptation — restoration, fuel alternatives and governance reform — for socio-environmental sustainability.</w:t>
      </w:r>
    </w:p>
    <w:p>
      <w:pPr>
        <w:pStyle w:val="Heading2"/>
      </w:pPr>
      <w:r>
        <w:t>46. Authors’ Interpretation</w:t>
      </w:r>
    </w:p>
    <w:p>
      <w:r>
        <w:t>Resource competition, institutional fragmentation and legal differentiation are key determinants of land, firewood and water governance; environmental change is co-produced by survival needs and governance structures.</w:t>
      </w:r>
    </w:p>
    <w:p>
      <w:pPr>
        <w:pStyle w:val="Heading2"/>
      </w:pPr>
      <w:r>
        <w:t>47. Author-Stated Limitations</w:t>
      </w:r>
    </w:p>
    <w:p>
      <w:r>
        <w:t>Qualitative, non-representative; limited, male-dominated samples; interpretation/translation effects; remote sensing only illustrative.</w:t>
      </w:r>
    </w:p>
    <w:p>
      <w:pPr>
        <w:pStyle w:val="Heading2"/>
      </w:pPr>
      <w:r>
        <w:t>48. Limitations Identified by Us</w:t>
      </w:r>
    </w:p>
    <w:p>
      <w:r>
        <w:t>• Qualitative; no population-representative statistical estimates.</w:t>
        <w:br/>
        <w:t>• Only 15 refugee + 7 host + 12 expert interviews; refugee/host samples male-dominated (women’s roles under-represented).</w:t>
        <w:br/>
        <w:t>• Eight sub-camps only; not representative of all camps/whole population.</w:t>
        <w:br/>
        <w:t>• Selection, recall and social-desirability bias; interpretation/translation may lose nuance.</w:t>
        <w:br/>
        <w:t>• No repeated/longitudinal interviews — phases reconstructed retrospectively.</w:t>
        <w:br/>
        <w:t>• Sentinel-2 = three dates, visual supplement only; no LULC classification, accuracy, forest-area, fragmentation or carbon.</w:t>
        <w:br/>
        <w:t>• Does not independently estimate LPG, fencing, restoration or intervention effects.</w:t>
        <w:br/>
        <w:t>• CPR and (mal)coping are interpretive constructs, not causal estimators; interrelated drivers cannot be separately identified.</w:t>
        <w:br/>
        <w:t>• No counterfactual/matching/DiD/event study/SDID; cannot establish change without the influx.</w:t>
        <w:br/>
        <w:t>• No uncertainty propagation; newly published, not yet independently replicated.</w:t>
      </w:r>
    </w:p>
    <w:p>
      <w:pPr>
        <w:pStyle w:val="Heading2"/>
      </w:pPr>
      <w:r>
        <w:t>49. Relevance to Our Research</w:t>
      </w:r>
    </w:p>
    <w:p>
      <w:r>
        <w:t>Very High for drivers, mechanisms and governance; Moderate for direct environmental measurement. Supplies mechanism narratives (firewood/LPG, land, water, institutional fragmentation, refugee–host relations) and governance framing for interpreting quantitative results, without providing independent forest-loss quantities.</w:t>
      </w:r>
    </w:p>
    <w:p>
      <w:pPr>
        <w:pStyle w:val="Heading2"/>
      </w:pPr>
      <w:r>
        <w:t>50. Research Gap</w:t>
      </w:r>
    </w:p>
    <w:p>
      <w:r>
        <w:t>P018 gives rich qualitative CPR/coping/governance evidence but does not quantify annual forest-loss trajectories, time-varying exposure, causal environmental effects, fragmentation, biomass/carbon loss, spatial driver importance, intervention effects or measurement uncertainty. Proposed work uses P018 to define plausible mechanisms, covariates and governance interpretations while estimating outcomes independently via remote sensing, SHAP-based prediction and SDID causal attribution; qualitative mechanism evidence supports but does not substitute for quantitative causal estimates.</w:t>
      </w:r>
    </w:p>
    <w:p>
      <w:pPr>
        <w:pStyle w:val="Heading2"/>
      </w:pPr>
      <w:r>
        <w:t>51. Comparison with P008</w:t>
      </w:r>
    </w:p>
    <w:p>
      <w:r>
        <w:t>P008 (Salemi) provides annual matched DiD/event-study causal forest–settlement dynamics; P018 provides the qualitative why behind resource pressures. P018’s LPG/firewood narrative is qualitative support for P008’s post-2019 LPG interpretation, not independent causal confirmation.</w:t>
      </w:r>
    </w:p>
    <w:p>
      <w:pPr>
        <w:pStyle w:val="Heading2"/>
      </w:pPr>
      <w:r>
        <w:t>52. Comparison with P014</w:t>
      </w:r>
    </w:p>
    <w:p>
      <w:r>
        <w:t>P014 (Gromny, Mtendeli) pairs annual remote sensing with expert interviews and distance-decay drivers; P018 is purely qualitative + illustrative RS for Kutupalong. Both establish mechanisms; neither is causal. (Note: overlapping author/consortium lineage with P014’s Sobczak-Szelc — treat governance narratives as related, not independent.)</w:t>
      </w:r>
    </w:p>
    <w:p>
      <w:pPr>
        <w:pStyle w:val="Heading2"/>
      </w:pPr>
      <w:r>
        <w:t>53. Comparison with P016</w:t>
      </w:r>
    </w:p>
    <w:p>
      <w:r>
        <w:t>P016 (Chowdhury) quantifies Kutupalong reforestation recovery/resilience (EVI, plots); P018 supplies the governance/coping context (restrictions, reconstruction, support distribution) explaining why restoration proceeded as it did. Complementary quantitative vs qualitative restoration framing.</w:t>
      </w:r>
    </w:p>
    <w:p>
      <w:pPr>
        <w:pStyle w:val="Heading2"/>
      </w:pPr>
      <w:r>
        <w:t>54. Planned Use in Literature Review</w:t>
      </w:r>
    </w:p>
    <w:p>
      <w:r>
        <w:t>• Theme Common-Pool Resources and Environmental Governance: integrated socio-ecological system; 34-interview evidence on land/firewood/water access.</w:t>
        <w:br/>
        <w:t>• Theme Coping and Environmental Drivers: (mal)coping; firewood–LPG tension.</w:t>
        <w:br/>
        <w:t>• Theme Refugee–Host Governance: legal differentiation, camp boundaries, support distribution.</w:t>
        <w:br/>
        <w:t>• Critical note: strong mechanism/governance evidence, weak direct quantitative environmental evidence; Sentinel-2 illustrative only. Supports Decision 021.</w:t>
      </w:r>
    </w:p>
    <w:p>
      <w:pPr>
        <w:pStyle w:val="Heading2"/>
      </w:pPr>
      <w:r>
        <w:t>55. Important Figures and Conceptual Diagrams</w:t>
      </w:r>
    </w:p>
    <w:p>
      <w:r>
        <w:t>Fig. 1 — study-area location with false-colour Sentinel-2 composites (5 Jan 2016, 4 Jan 2019, 23 Jan 2022); conceptual diagrams of the integrated socio-ecological system, common-pool resources and the four-phase resource-management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