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P019 — Full-Text Extraction</w:t>
      </w:r>
    </w:p>
    <w:p>
      <w:pPr>
        <w:pStyle w:val="Heading2"/>
      </w:pPr>
      <w:r>
        <w:t>1. Verified Citation</w:t>
      </w:r>
    </w:p>
    <w:p>
      <w:r>
        <w:t>Rashid, K. J., Hoque, M. A., Esha, T. A., Rahman, M. A., &amp; Paul, A. (2021). Spatiotemporal changes of vegetation and land surface temperature in the refugee camps and its surrounding areas of Bangladesh after the Rohingya influx from Myanmar. Environment, Development and Sustainability, 23, 3562–3577. https://doi.org/10.1007/s10668-020-00733-x</w:t>
      </w:r>
    </w:p>
    <w:p>
      <w:pPr>
        <w:pStyle w:val="Heading2"/>
      </w:pPr>
      <w:r>
        <w:t>2. Publication and Access Status</w:t>
      </w:r>
    </w:p>
    <w:p>
      <w:r>
        <w:t>Research Article; peer reviewed: Yes. Environment, Development and Sustainability, Volume 23, pages 3562–3577. Received 5 January 2020; accepted 10 April 2020; online first 23 April 2020; final issue March 2021 → matrix year 2021 (Online first: 2020). Publisher access: Springer subscription. Full text reviewed from the author-uploaded complete personal copy (ResearchGate reader; pages carry the “Author's personal copy” watermark). The RG binary requires account login and Springer is subscription; a working archival placeholder was saved to be replaced with the author/publisher PDF when a direct download is possible.</w:t>
      </w:r>
    </w:p>
    <w:p>
      <w:pPr>
        <w:pStyle w:val="Heading2"/>
      </w:pPr>
      <w:r>
        <w:t>3. Research Objective</w:t>
      </w:r>
    </w:p>
    <w:p>
      <w:r>
        <w:t>To quantify vegetation change and land-surface-temperature (LST) change between 2017 and 2019 across the Kutupalong–Balukhali camps and adjacent areas following the Rohingya influx, and to examine the spatial relationship between vegetation loss and thermal conditions.</w:t>
      </w:r>
    </w:p>
    <w:p>
      <w:pPr>
        <w:pStyle w:val="Heading2"/>
      </w:pPr>
      <w:r>
        <w:t>4. Research Questions</w:t>
      </w:r>
    </w:p>
    <w:p>
      <w:r>
        <w:t>How much vegetation was lost/gained after the influx; how did LST change pre- vs post-influx; and how does LST vary across vegetation-change classes around the camps?</w:t>
      </w:r>
    </w:p>
    <w:p>
      <w:pPr>
        <w:pStyle w:val="Heading2"/>
      </w:pPr>
      <w:r>
        <w:t>5. Study Area</w:t>
      </w:r>
    </w:p>
    <w:p>
      <w:r>
        <w:t>Kutupalong–Balukhali refugee-camp landscape and surrounding areas, Ukhiya, Cox’s Bazar District, southeastern Bangladesh, including parts of the Ukhiya and Inani forest ranges.</w:t>
      </w:r>
    </w:p>
    <w:p>
      <w:pPr>
        <w:pStyle w:val="Heading2"/>
      </w:pPr>
      <w:r>
        <w:t>6. Kutupalong–Balukhali Camp Context</w:t>
      </w:r>
    </w:p>
    <w:p>
      <w:r>
        <w:t>The camp cluster formed by the older Kutupalong registered camp and the rapid Balukhali expansion after the August 2017 mass influx.</w:t>
      </w:r>
    </w:p>
    <w:p>
      <w:pPr>
        <w:pStyle w:val="Heading2"/>
      </w:pPr>
      <w:r>
        <w:t>7. Study Period</w:t>
      </w:r>
    </w:p>
    <w:p>
      <w:r>
        <w:t>Two-date pre/post design: pre-influx 2 May 2017 and post-influx 22 April 2019 (interval ≈ 23.7 months), chosen from a broadly similar season to limit phenological differences.</w:t>
      </w:r>
    </w:p>
    <w:p>
      <w:pPr>
        <w:pStyle w:val="Heading2"/>
      </w:pPr>
      <w:r>
        <w:t>8. Image Acquisition Dates</w:t>
      </w:r>
    </w:p>
    <w:p>
      <w:r>
        <w:t>Pre-influx: 2 May 2017. Post-influx: 22 April 2019.</w:t>
      </w:r>
    </w:p>
    <w:p>
      <w:pPr>
        <w:pStyle w:val="Heading2"/>
      </w:pPr>
      <w:r>
        <w:t>9. Landsat 8 OLI–TIRS Data</w:t>
      </w:r>
    </w:p>
    <w:p>
      <w:r>
        <w:t>Landsat 8 OLI–TIRS, Level-1 Terrain Precision (L1TP); reported 30 m scale; optical bands 2–7; thermal bands 10 and 11.</w:t>
      </w:r>
    </w:p>
    <w:p>
      <w:pPr>
        <w:pStyle w:val="Heading2"/>
      </w:pPr>
      <w:r>
        <w:t>10. Refugee-Camp Boundary Data</w:t>
      </w:r>
    </w:p>
    <w:p>
      <w:r>
        <w:t>Camp boundaries from Site Management Sector, RRRC and the Inter Sector Coordination Group (ISCG), boundary date 10 March 2019.</w:t>
      </w:r>
    </w:p>
    <w:p>
      <w:pPr>
        <w:pStyle w:val="Heading2"/>
      </w:pPr>
      <w:r>
        <w:t>11. Image Preprocessing</w:t>
      </w:r>
    </w:p>
    <w:p>
      <w:r>
        <w:t>QGIS 3.4 with the Semi-Automatic Classification Plugin (SCP): image clipping, DN conversion, OLI→TOA reflectance, TIRS→TOA radiance, Dark Object Subtraction atmospheric correction, bands 2–7 stacked, SWIR1–NIR–Red false-colour composite.</w:t>
      </w:r>
    </w:p>
    <w:p>
      <w:pPr>
        <w:pStyle w:val="Heading2"/>
      </w:pPr>
      <w:r>
        <w:t>12. Radiometric Calibration</w:t>
      </w:r>
    </w:p>
    <w:p>
      <w:r>
        <w:t>OLI bands converted to TOA reflectance; TIRS bands converted to TOA radiance prior to analysis.</w:t>
      </w:r>
    </w:p>
    <w:p>
      <w:pPr>
        <w:pStyle w:val="Heading2"/>
      </w:pPr>
      <w:r>
        <w:t>13. Atmospheric Correction</w:t>
      </w:r>
    </w:p>
    <w:p>
      <w:r>
        <w:t>Dark Object Subtraction (DOS) applied within SCP.</w:t>
      </w:r>
    </w:p>
    <w:p>
      <w:pPr>
        <w:pStyle w:val="Heading2"/>
      </w:pPr>
      <w:r>
        <w:t>14. False-Colour Composite</w:t>
      </w:r>
    </w:p>
    <w:p>
      <w:r>
        <w:t>SWIR1–NIR–Red false-colour composite used to aid interpretation and classification.</w:t>
      </w:r>
    </w:p>
    <w:p>
      <w:pPr>
        <w:pStyle w:val="Heading2"/>
      </w:pPr>
      <w:r>
        <w:t>15. LULC Classes</w:t>
      </w:r>
    </w:p>
    <w:p>
      <w:r>
        <w:t>Three broad classes: (1) Vegetated, (2) Wetlands, (3) Non-vegetated. Vegetation is not separated into natural forest, plantation, agriculture or grassland.</w:t>
      </w:r>
    </w:p>
    <w:p>
      <w:pPr>
        <w:pStyle w:val="Heading2"/>
      </w:pPr>
      <w:r>
        <w:t>16. Training-Sample Design</w:t>
      </w:r>
    </w:p>
    <w:p>
      <w:r>
        <w:t>Training polygons/samples were collected for the three classes, but the number of trees, mtry, number of training polygons and class-specific training counts are not reported.</w:t>
      </w:r>
    </w:p>
    <w:p>
      <w:pPr>
        <w:pStyle w:val="Heading2"/>
      </w:pPr>
      <w:r>
        <w:t>17. Random Forest Classification</w:t>
      </w:r>
    </w:p>
    <w:p>
      <w:r>
        <w:t>Random Forest via the dzetsaka classification plugin in QGIS, using Landsat 8 bands 2–7; each year classified independently.</w:t>
      </w:r>
    </w:p>
    <w:p>
      <w:pPr>
        <w:pStyle w:val="Heading2"/>
      </w:pPr>
      <w:r>
        <w:t>18. Out-of-Bag Assessment</w:t>
      </w:r>
    </w:p>
    <w:p>
      <w:r>
        <w:t>Random Forest internal validation used the out-of-bag (OOB) error matrix; OOB correctly-classified pixels reported as ~97–99% in the accuracy subsection.</w:t>
      </w:r>
    </w:p>
    <w:p>
      <w:pPr>
        <w:pStyle w:val="Heading2"/>
      </w:pPr>
      <w:r>
        <w:t>19. Google Earth Validation</w:t>
      </w:r>
    </w:p>
    <w:p>
      <w:r>
        <w:t>External reference via Google Earth high-resolution imagery, with 90 stratified random validation points per year.</w:t>
      </w:r>
    </w:p>
    <w:p>
      <w:pPr>
        <w:pStyle w:val="Heading2"/>
      </w:pPr>
      <w:r>
        <w:t>20. Accuracy Results</w:t>
      </w:r>
    </w:p>
    <w:p>
      <w:r>
        <w:t>Officially reported (abstract): 2017 OA 96% / Kappa 92%; 2019 OA 94% / Kappa 88%. Use these as the official summary (they also appear in publisher metadata).</w:t>
      </w:r>
    </w:p>
    <w:p>
      <w:pPr>
        <w:pStyle w:val="Heading2"/>
      </w:pPr>
      <w:r>
        <w:t>21. Accuracy-Reporting Inconsistencies</w:t>
      </w:r>
    </w:p>
    <w:p>
      <w:r>
        <w:t>Values differ across sections: Abstract 2017 96%/92%, 2019 94%/88%; Results narrative 2017 “overall user accuracy” 96%, 2019 92%, Kappa 92%/88%; Accuracy subsection OOB 97–99%; Google Earth validation OA 96.1–97.5% / Kappa 94–96.1%; Discussion 97–99%. Record all separately; do not average ranges.</w:t>
      </w:r>
    </w:p>
    <w:p>
      <w:pPr>
        <w:pStyle w:val="Heading2"/>
      </w:pPr>
      <w:r>
        <w:t>22. Post-Classification Change Detection</w:t>
      </w:r>
    </w:p>
    <w:p>
      <w:r>
        <w:t>Two independently classified maps overlaid and compared pixel-to-pixel (SCP in QGIS 3.4), reclassified into five transition categories.</w:t>
      </w:r>
    </w:p>
    <w:p>
      <w:pPr>
        <w:pStyle w:val="Heading2"/>
      </w:pPr>
      <w:r>
        <w:t>23. Five Transition Classes</w:t>
      </w:r>
    </w:p>
    <w:p>
      <w:r>
        <w:t>1. Vegetation remained; 2. Vegetation loss; 3. Vegetation gain; 4. Non-vegetation remained; 5. Wetlands remained.</w:t>
      </w:r>
    </w:p>
    <w:p>
      <w:pPr>
        <w:pStyle w:val="Heading2"/>
      </w:pPr>
      <w:r>
        <w:t>24. Gross Vegetation Loss</w:t>
      </w:r>
    </w:p>
    <w:p>
      <w:r>
        <w:t>Gross vegetation-to-non-vegetation conversion = 1,876.14 ha (Table 3).</w:t>
      </w:r>
    </w:p>
    <w:p>
      <w:pPr>
        <w:pStyle w:val="Heading2"/>
      </w:pPr>
      <w:r>
        <w:t>25. Vegetation Gain</w:t>
      </w:r>
    </w:p>
    <w:p>
      <w:r>
        <w:t>Non-vegetation-to-vegetation conversion = 1,039.68 ha (Table 3).</w:t>
      </w:r>
    </w:p>
    <w:p>
      <w:pPr>
        <w:pStyle w:val="Heading2"/>
      </w:pPr>
      <w:r>
        <w:t>26. Net Vegetation Loss</w:t>
      </w:r>
    </w:p>
    <w:p>
      <w:r>
        <w:t>Derived net loss = 1,876.14 − 1,039.68 = 836.46 ha (paper narrative ≈ 836 ha). Distinguish gross vs net; abstract/conclusion use stronger “1,876 ha forested land decreased” wording.</w:t>
      </w:r>
    </w:p>
    <w:p>
      <w:pPr>
        <w:pStyle w:val="Heading2"/>
      </w:pPr>
      <w:r>
        <w:t>27. Vegetation Remaining</w:t>
      </w:r>
    </w:p>
    <w:p>
      <w:r>
        <w:t>Vegetation remained = 5,420.97 ha over the study period.</w:t>
      </w:r>
    </w:p>
    <w:p>
      <w:pPr>
        <w:pStyle w:val="Heading2"/>
      </w:pPr>
      <w:r>
        <w:t>28. Non-Vegetation and Wetland Results</w:t>
      </w:r>
    </w:p>
    <w:p>
      <w:r>
        <w:t>Non-vegetation remained = 1,087.29 ha; wetlands remained = 258.66 ha (Table 3).</w:t>
      </w:r>
    </w:p>
    <w:p>
      <w:pPr>
        <w:pStyle w:val="Heading2"/>
      </w:pPr>
      <w:r>
        <w:t>29. Land Surface Temperature Method</w:t>
      </w:r>
    </w:p>
    <w:p>
      <w:r>
        <w:t>LST computed in RStudio (raster, RStoolbox) from Landsat 8 TIRS bands 10 and 11 via the Planck equation, with brightness temperature, NDVI, proportion of vegetation, NDVI-derived land-surface emissivity and Kelvin→Celsius conversion; LST derived separately from both thermal bands and averaged.</w:t>
      </w:r>
    </w:p>
    <w:p>
      <w:pPr>
        <w:pStyle w:val="Heading2"/>
      </w:pPr>
      <w:r>
        <w:t>30. Planck Equation</w:t>
      </w:r>
    </w:p>
    <w:p>
      <w:r>
        <w:t>Planck equation used to derive LST from thermal radiance (constant 1.438×10⁻² mK cited).</w:t>
      </w:r>
    </w:p>
    <w:p>
      <w:pPr>
        <w:pStyle w:val="Heading2"/>
      </w:pPr>
      <w:r>
        <w:t>31. NDVI-Based Vegetation Proportion</w:t>
      </w:r>
    </w:p>
    <w:p>
      <w:r>
        <w:t>Pv = [(NDVI − NDVImin)/(NDVImax − NDVImin)]².</w:t>
      </w:r>
    </w:p>
    <w:p>
      <w:pPr>
        <w:pStyle w:val="Heading2"/>
      </w:pPr>
      <w:r>
        <w:t>32. Land-Surface Emissivity</w:t>
      </w:r>
    </w:p>
    <w:p>
      <w:r>
        <w:t>LSE ε = 0.004·Pv + 0.986.</w:t>
      </w:r>
    </w:p>
    <w:p>
      <w:pPr>
        <w:pStyle w:val="Heading2"/>
      </w:pPr>
      <w:r>
        <w:t>33. Thermal-Band Treatment</w:t>
      </w:r>
    </w:p>
    <w:p>
      <w:r>
        <w:t>LST from TIRS Band 10 and Band 11 were averaged for final mapping; no sensitivity test for Band 11 calibration uncertainty.</w:t>
      </w:r>
    </w:p>
    <w:p>
      <w:pPr>
        <w:pStyle w:val="Heading2"/>
      </w:pPr>
      <w:r>
        <w:t>34. BMD Temperature Comparison</w:t>
      </w:r>
    </w:p>
    <w:p>
      <w:r>
        <w:t>Landsat-derived LST extremes compared with Bangladesh Meteorological Department air temperature (Teknaf station, as no station existed inside the study area): Air temp 2017 25.6–34.4 °C, 2019 23.0–37.6 °C; derived LST 2017 26.9–34.4 °C, 2019 23.9–35.7 °C. Extremes-only comparison, not pixel-level validation.</w:t>
      </w:r>
    </w:p>
    <w:p>
      <w:pPr>
        <w:pStyle w:val="Heading2"/>
      </w:pPr>
      <w:r>
        <w:t>35. 2017 LST Findings</w:t>
      </w:r>
    </w:p>
    <w:p>
      <w:r>
        <w:t>2017 derived LST range ≈ 26.9–34.4 °C; high-temperature zones comparatively limited before the peak influx.</w:t>
      </w:r>
    </w:p>
    <w:p>
      <w:pPr>
        <w:pStyle w:val="Heading2"/>
      </w:pPr>
      <w:r>
        <w:t>36. 2019 LST Findings</w:t>
      </w:r>
    </w:p>
    <w:p>
      <w:r>
        <w:t>2019 derived LST range ≈ 23.9–35.7 °C (Table 2), with high-LST areas expanding around the camps; note abstract rounds max to ≈34 °C, inconsistent with table 35.7 °C.</w:t>
      </w:r>
    </w:p>
    <w:p>
      <w:pPr>
        <w:pStyle w:val="Heading2"/>
      </w:pPr>
      <w:r>
        <w:t>37. LST by Change Class</w:t>
      </w:r>
    </w:p>
    <w:p>
      <w:r>
        <w:t>2019 LST by transition class (min/max/mean/SD): Vegetation remained 23.901/34.192/29.474/1.042; Vegetation loss 25.171/35.692/31.322/1.223; Vegetation gain 23.919/33.821/28.995/1.536; Wetlands remained 24.955/31.443/26.565/0.855; Non-vegetation remained 25.838/34.827/30.765/1.337. Highest mean/max in vegetation-loss areas; lowest mean in wetlands.</w:t>
      </w:r>
    </w:p>
    <w:p>
      <w:pPr>
        <w:pStyle w:val="Heading2"/>
      </w:pPr>
      <w:r>
        <w:t>38. Vegetation-Loss and Thermal Relationship</w:t>
      </w:r>
    </w:p>
    <w:p>
      <w:r>
        <w:t>Vegetation-loss areas show the highest mean LST (~31.32 °C); the spatial association supports an ecological-stress interpretation but does not establish that the influx caused the temperature difference.</w:t>
      </w:r>
    </w:p>
    <w:p>
      <w:pPr>
        <w:pStyle w:val="Heading2"/>
      </w:pPr>
      <w:r>
        <w:t>39. Authors’ Driver Interpretation</w:t>
      </w:r>
    </w:p>
    <w:p>
      <w:r>
        <w:t>Vegetation decline and thermal rise attributed to camp establishment/expansion and associated clearing and fuelwood demand, interpreted mainly from reports and prior literature rather than direct measurement.</w:t>
      </w:r>
    </w:p>
    <w:p>
      <w:pPr>
        <w:pStyle w:val="Heading2"/>
      </w:pPr>
      <w:r>
        <w:t>40. Camp Expansion and Fuelwood Context</w:t>
      </w:r>
    </w:p>
    <w:p>
      <w:r>
        <w:t>Rapid population growth and fuelwood collection cited as pressures on surrounding vegetation.</w:t>
      </w:r>
    </w:p>
    <w:p>
      <w:pPr>
        <w:pStyle w:val="Heading2"/>
      </w:pPr>
      <w:r>
        <w:t>41. Biodiversity and Hazard Implications</w:t>
      </w:r>
    </w:p>
    <w:p>
      <w:r>
        <w:t>Vegetation loss and warming linked qualitatively to biodiversity pressure and hazard/ecological-stress implications.</w:t>
      </w:r>
    </w:p>
    <w:p>
      <w:pPr>
        <w:pStyle w:val="Heading2"/>
      </w:pPr>
      <w:r>
        <w:t>42. Authors’ Recommendations</w:t>
      </w:r>
    </w:p>
    <w:p>
      <w:r>
        <w:t>Reforestation/restoration, alternative fuel and monitoring recommended to mitigate vegetation and thermal impacts.</w:t>
      </w:r>
    </w:p>
    <w:p>
      <w:pPr>
        <w:pStyle w:val="Heading2"/>
      </w:pPr>
      <w:r>
        <w:t>43. Author-Stated Limitations</w:t>
      </w:r>
    </w:p>
    <w:p>
      <w:r>
        <w:t>Two-date design; broad classes; reliance on secondary sources for drivers; thermal comparison against station air temperature.</w:t>
      </w:r>
    </w:p>
    <w:p>
      <w:pPr>
        <w:pStyle w:val="Heading2"/>
      </w:pPr>
      <w:r>
        <w:t>44. Limitations Identified by Us</w:t>
      </w:r>
    </w:p>
    <w:p>
      <w:r>
        <w:t>• Only two dates (one pre-, one post-influx); different acquisition dates (2 May 2017 vs 22 April 2019) with interannual rainfall/moisture/phenology effects.</w:t>
        <w:br/>
        <w:t>• Three-class legend merges all vegetation — no forest/plantation/agriculture/grassland separation; 1,876.14 ha is gross vegetation loss, not net forest loss (net ≈ 836.46 ha after 1,039.68 ha gain).</w:t>
        <w:br/>
        <w:t>• Accuracy values inconsistent across abstract/methods/results/discussion; training sample number/distribution unreported; only 90 validation points/year; train/validation spatial independence not demonstrated; Google Earth dates may not align with Landsat.</w:t>
        <w:br/>
        <w:t>• TIRS Band 10 &amp; 11 averaged without Band 11 sensitivity test; native thermal resolution ~100 m resampled to 30 m (no true 30 m thermal detail).</w:t>
        <w:br/>
        <w:t>• Station air temperature ≠ pixel LST; no matched-overpass RMSE/MAE/ground-surface validation; no atmospheric/emissivity/calibration/resampling uncertainty propagation.</w:t>
        <w:br/>
        <w:t>• Vegetation-loss↔LST is spatial association, not causal; drivers interpreted from reports; no counterfactual/matching/DiD/event study/SDID; no annual trajectory/fragmentation/biomass/carbon; no SHAP or spatial-block validation; classification &amp; LST uncertainties not jointly propagated.</w:t>
      </w:r>
    </w:p>
    <w:p>
      <w:pPr>
        <w:pStyle w:val="Heading2"/>
      </w:pPr>
      <w:r>
        <w:t>45. Numerical and Terminological Inconsistencies</w:t>
      </w:r>
    </w:p>
    <w:p>
      <w:r>
        <w:t>1) Forest vs vegetation: Table 3 vegetation loss 1,876.14 ha, but abstract/conclusion say ~1,876 ha “forested lands” — legend is not forest-specific (report as gross vegetation loss, not forest loss). 2) Gross vs net: gross 1,876.14, gain 1,039.68, net 836.46 — keep separate. 3) Accuracy differs across sections. 4) Max LST: abstract ~34 °C vs Table 2 (2019) 35.7 °C vs Table 4 vegetation-loss 35.69175 °C — use table 35.7 °C. 5) Coordinate: northern latitude printed 21°70′ N (minutes &gt;59, invalid) — do not silently correct without map verification.</w:t>
      </w:r>
    </w:p>
    <w:p>
      <w:pPr>
        <w:pStyle w:val="Heading2"/>
      </w:pPr>
      <w:r>
        <w:t>46. Relevance to Our Research</w:t>
      </w:r>
    </w:p>
    <w:p>
      <w:r>
        <w:t>High for the vegetation–thermal relationship; moderate for forest-specific measurement. Direct Cox’s Bazar precedent pairing Landsat + Random Forest vegetation change with LST around the camps; informs LST-as-supplementary-outcome design (Decision 022) and gross-vs-net-vs-causal separation.</w:t>
      </w:r>
    </w:p>
    <w:p>
      <w:pPr>
        <w:pStyle w:val="Heading2"/>
      </w:pPr>
      <w:r>
        <w:t>47. Research Gap</w:t>
      </w:r>
    </w:p>
    <w:p>
      <w:r>
        <w:t>P019 shows Rohingya-related vegetation change and LST were already studied together with Landsat/RF, so novelty cannot rest on connecting vegetation decline with thermal stress, using RF in the camp landscape, comparing pre/post LST or mapping vegetation-loss thermal patterns. It is limited to two dates, three broad classes and descriptive association. Proposed work extends via: annual 2001–2025 forest-specific outcomes; long 2001–2016 pre-treatment panel; consistent seasonal compositing; time-varying camp exposure; SDID attribution; annual fragmentation; AGB/carbon loss; classification &amp; carbon uncertainty propagation; spatial-block validation; SHAP; explicit separation of gross/net/causal-attributable loss; and optional thermal-stress as a supplementary outcome.</w:t>
      </w:r>
    </w:p>
    <w:p>
      <w:pPr>
        <w:pStyle w:val="Heading2"/>
      </w:pPr>
      <w:r>
        <w:t>48. Comparison with P013 and P017</w:t>
      </w:r>
    </w:p>
    <w:p>
      <w:r>
        <w:t>P013 (Ahmed 2024): long multi-date LULC + LST + CA–ANN scenarios, broad vegetation class — same forest-vs-vegetation caveat as P019. P017 (Liu 2026): integrated LULC/fragmentation/HQ/LST + PA-boundary gradient + PLUS 2036. P019 is the earliest/simplest of the three (two dates, three classes) but a direct empirical vegetation–LST precedent. All three are descriptive/scenario, non-causal.</w:t>
      </w:r>
    </w:p>
    <w:p>
      <w:pPr>
        <w:pStyle w:val="Heading2"/>
      </w:pPr>
      <w:r>
        <w:t>49. Planned Use in Literature Review</w:t>
      </w:r>
    </w:p>
    <w:p>
      <w:r>
        <w:t>• Theme Vegetation and Thermal Change: 1,876.14 ha gross loss, 1,039.68 ha gain, ~836.46 ha net; 5,420.97 ha remained.</w:t>
        <w:br/>
        <w:t>• Theme Land-Surface Temperature: 2019 vegetation-loss mean LST ~31.32 °C vs 29.47 (remained), 28.99 (gain), 26.56 (wetlands).</w:t>
        <w:br/>
        <w:t>• Critical note: gross vegetation loss ≠ net/causal forest loss; accuracy &amp; max-LST vary by section; cite from tables. Supports Decision 022.</w:t>
      </w:r>
    </w:p>
    <w:p>
      <w:pPr>
        <w:pStyle w:val="Heading2"/>
      </w:pPr>
      <w:r>
        <w:t>50. Important Tables and Figures</w:t>
      </w:r>
    </w:p>
    <w:p>
      <w:r>
        <w:t>Table 1 — data/sensors/dates and camp-boundary source (RRRC/ISCG, 10 Mar 2019)</w:t>
        <w:br/>
        <w:t>Table 2 — BMD air temperature vs derived LST extremes (2017/2019)</w:t>
        <w:br/>
        <w:t>Table 3 — five transition-class areas (5,420.97 / 1,876.14 / 1,039.68 / 1,087.29 / 258.66 ha)</w:t>
        <w:br/>
        <w:t>Table 4 — 2019 LST by transition class (min/max/mean/SD)</w:t>
        <w:br/>
        <w:t>Fig. 1 — study area/camp boundaries</w:t>
        <w:br/>
        <w:t>Fig. 2 — 2017 and 2019 satellite images</w:t>
        <w:br/>
        <w:t>Change-map and LST-map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