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r>
        <w:t>Attributing Post-2017 Forest Loss, Fragmentation, and Associated Above-Ground Carbon Loss to the Rohingya Refugee Influx in Cox's Bazar, Bangladesh: A 2001-2025 Remote-Sensing, Explainable Machine-Learning, and Synthetic Difference-in-Differences Analysis</w:t>
      </w:r>
    </w:p>
    <w:p>
      <w:r>
        <w:t>Status: Working Research Report</w:t>
      </w:r>
    </w:p>
    <w:p>
      <w:r>
        <w:t>Note: The title may be shortened before journal submission.</w:t>
      </w:r>
    </w:p>
    <w:p>
      <w:r>
        <w:t>Project: Rohingya Forest Impact Research</w:t>
      </w:r>
    </w:p>
    <w:p>
      <w:r>
        <w:t>Version: v06</w:t>
      </w:r>
    </w:p>
    <w:p>
      <w:r>
        <w:t>Date: 27 July 2026</w:t>
      </w:r>
    </w:p>
    <w:p>
      <w:pPr/>
      <w:r>
        <w:t>Stage: Step 3.3 Annual Camp Exposure Reconstruction — In Progress</w:t>
      </w:r>
    </w:p>
    <w:p>
      <w:pPr/>
      <w:r>
        <w:t>Current Project Status</w:t>
      </w:r>
    </w:p>
    <w:p>
      <w:pPr/>
      <w:r>
        <w:t>✓ Literature Review — Completed</w:t>
      </w:r>
    </w:p>
    <w:p>
      <w:pPr/>
      <w:r>
        <w:t>✓ Official Boundary Verification — Completed (FROZEN)</w:t>
      </w:r>
    </w:p>
    <w:p>
      <w:pPr/>
      <w:r>
        <w:t>✓ Historical Identifier Crosswalk — Completed (FROZEN)</w:t>
      </w:r>
    </w:p>
    <w:p>
      <w:pPr/>
      <w:r>
        <w:t>◐ Annual Camp Exposure Reconstruction — In Progress (Step 3.3)</w:t>
      </w:r>
    </w:p>
    <w:p>
      <w:pPr/>
      <w:r>
        <w:t>□ Forest Extraction — Pending</w:t>
      </w:r>
    </w:p>
    <w:p>
      <w:pPr/>
      <w:r>
        <w:t>□ Fragmentation — Pending</w:t>
      </w:r>
    </w:p>
    <w:p>
      <w:pPr/>
      <w:r>
        <w:t>□ SDID — Pending</w:t>
      </w:r>
    </w:p>
    <w:p>
      <w:pPr/>
      <w:r>
        <w:t>□ Biomass / Carbon — Pending</w:t>
      </w:r>
    </w:p>
    <w:p>
      <w:pPr/>
      <w:r>
        <w:t>□ Machine Learning — Pending</w:t>
      </w:r>
    </w:p>
    <w:p>
      <w:pPr/>
      <w:r>
        <w:t>□ Conservation Priority — Pending</w:t>
      </w:r>
    </w:p>
    <w:p>
      <w:pPr>
        <w:pStyle w:val="Heading1"/>
      </w:pPr>
      <w:r>
        <w:t>Abstract</w:t>
      </w:r>
    </w:p>
    <w:p>
      <w:r>
        <w:t>[To be completed after analysis.]</w:t>
      </w:r>
    </w:p>
    <w:p>
      <w:pPr>
        <w:pStyle w:val="Heading1"/>
      </w:pPr>
      <w:r>
        <w:t>1. Introduction</w:t>
      </w:r>
    </w:p>
    <w:p>
      <w:pPr>
        <w:pStyle w:val="Heading2"/>
      </w:pPr>
      <w:r>
        <w:t>1.1 Background</w:t>
      </w:r>
    </w:p>
    <w:p>
      <w:pPr/>
      <w:r>
        <w:t>Cox's Bazar hosts the Rohingya-affected landscapes of Ukhiya and Teknaf, including major camp clusters, reserve and protected forests, and ecologically important habitat and corridor areas. The large displacement beginning in August 2017 transformed land-use pressure across a forested, erosion-prone and biodiversity-sensitive landscape.</w:t>
      </w:r>
    </w:p>
    <w:p>
      <w:pPr/>
      <w:r>
        <w:t>The frozen targeted literature review indicates substantial post-2017 forest, vegetation, habitat and ecological change. Yet environmental change in this setting reflects interacting settlement expansion, fuel demand, infrastructure, restoration, governance, host-community and conservation processes; it must not be reduced to a single population-pressure explanation.</w:t>
      </w:r>
    </w:p>
    <w:p>
      <w:pPr>
        <w:pStyle w:val="Heading2"/>
      </w:pPr>
      <w:r>
        <w:t>1.2 Research Problem</w:t>
      </w:r>
    </w:p>
    <w:p>
      <w:pPr/>
      <w:r>
        <w:t>The central research problem is to distinguish observed environmental change from change that can be causally attributed to post-2017 camp establishment and expansion. Existing studies document forest and vegetation decline, fragmentation, habitat deterioration, carbon implications and recovery mechanisms, but their estimates use differing study areas, dates, class definitions and causal designs.</w:t>
      </w:r>
    </w:p>
    <w:p>
      <w:pPr/>
      <w:r>
        <w:t>Accordingly, raw post-2017 forest loss will be treated as descriptive evidence only. Causal claims will require a defensible counterfactual design, donor support, pre-treatment fit, spillover diagnostics and transparent uncertainty reporting.</w:t>
      </w:r>
    </w:p>
    <w:p>
      <w:pPr>
        <w:pStyle w:val="Heading2"/>
      </w:pPr>
      <w:r>
        <w:t>1.3 Research Gap</w:t>
      </w:r>
    </w:p>
    <w:p>
      <w:pPr/>
      <w:r>
        <w:t>Nineteen papers were reviewed as eighteen evidence families through a quality-weighted narrative synthesis. The review identifies strong but fragmented evidence: direct forest-change mapping, limited quasi-experimental causal evidence, selected-date fragmentation studies, restoration/carbon studies, predictive scenarios and qualitative governance evidence.</w:t>
      </w:r>
    </w:p>
    <w:p>
      <w:pPr/>
      <w:r>
        <w:t>Within the reviewed literature, no study jointly combines a long annual forest panel, time-varying camp exposure, SDID causal attribution, annual fragmentation, attributable above-ground carbon loss, uncertainty propagation, spatially validated predictive interpretation and conservation-priority mapping.</w:t>
      </w:r>
    </w:p>
    <w:p>
      <w:pPr>
        <w:pStyle w:val="Heading2"/>
      </w:pPr>
      <w:r>
        <w:t>1.4 Research Aim</w:t>
      </w:r>
    </w:p>
    <w:p>
      <w:pPr/>
      <w:r>
        <w:t>To quantify and causally attribute post-2017 forest loss, fragmentation and associated above-ground carbon loss in the Rohingya-affected landscape of Cox's Bazar, and to identify spatial drivers and conservation-priority areas.</w:t>
      </w:r>
    </w:p>
    <w:p>
      <w:pPr/>
      <w:r>
        <w:t>The research framework is 2001–2025. The confirmed Hansen Global Forest Change outcome period is 2001–2024; a 2025 outcome remains conditional on a complete and validated release.</w:t>
      </w:r>
    </w:p>
    <w:p>
      <w:pPr>
        <w:pStyle w:val="Heading2"/>
      </w:pPr>
      <w:r>
        <w:t>1.5 Research Objectives</w:t>
      </w:r>
    </w:p>
    <w:p>
      <w:pPr/>
      <w:r>
        <w:t>1. Construct annual 2001–2025 forest-loss and forest-condition outcomes for the Rohingya-affected landscape and suitable comparison areas.</w:t>
      </w:r>
    </w:p>
    <w:p>
      <w:pPr/>
      <w:r>
        <w:t>2. Quantify annual changes in forest fragmentation, including patch, edge, core-area, aggregation and connectivity indicators.</w:t>
      </w:r>
    </w:p>
    <w:p>
      <w:pPr/>
      <w:r>
        <w:t>3. Estimate the post-2017 causal effect of camp establishment and expansion on forest and fragmentation outcomes using Synthetic Difference-in-Differences (SDID).</w:t>
      </w:r>
    </w:p>
    <w:p>
      <w:pPr/>
      <w:r>
        <w:t>4. Estimate annual above-ground biomass, carbon and CO₂-equivalent loss associated with forest change, including attributable loss and biomass uncertainty.</w:t>
      </w:r>
    </w:p>
    <w:p>
      <w:pPr/>
      <w:r>
        <w:t>5. Model spatial forest-loss risk and interpret predictive drivers using machine learning and SHAP, while keeping prediction separate from causal attribution.</w:t>
      </w:r>
    </w:p>
    <w:p>
      <w:pPr/>
      <w:r>
        <w:t>6. Identify conservation and restoration priority zones by integrating causal forest loss, fragmentation, carbon density, protected areas, verified wildlife corridors and restoration potential.</w:t>
      </w:r>
    </w:p>
    <w:p>
      <w:pPr>
        <w:pStyle w:val="Heading2"/>
      </w:pPr>
      <w:r>
        <w:t>1.6 Research Questions</w:t>
      </w:r>
    </w:p>
    <w:p>
      <w:pPr/>
      <w:r>
        <w:t>RQ1. How did annual forest condition change between 2001 and 2025?</w:t>
      </w:r>
    </w:p>
    <w:p>
      <w:pPr/>
      <w:r>
        <w:t>RQ2. How did forest fragmentation and connectivity change before and after the 2017 influx?</w:t>
      </w:r>
    </w:p>
    <w:p>
      <w:pPr/>
      <w:r>
        <w:t>RQ3. How much post-2017 forest and fragmentation change is causally attributable under the SDID design?</w:t>
      </w:r>
    </w:p>
    <w:p>
      <w:pPr/>
      <w:r>
        <w:t>RQ4. What above-ground biomass, carbon and CO₂-equivalent losses are associated with observed and attributable forest loss?</w:t>
      </w:r>
    </w:p>
    <w:p>
      <w:pPr/>
      <w:r>
        <w:t>RQ5. Which spatial, environmental and infrastructure variables best predict forest-loss risk?</w:t>
      </w:r>
    </w:p>
    <w:p>
      <w:pPr/>
      <w:r>
        <w:t>RQ6. Where are the highest-priority zones for conservation, restoration and connectivity protection?</w:t>
      </w:r>
    </w:p>
    <w:p>
      <w:pPr>
        <w:pStyle w:val="Heading2"/>
      </w:pPr>
      <w:r>
        <w:t>1.7 Significance of the Study</w:t>
      </w:r>
    </w:p>
    <w:p>
      <w:pPr/>
      <w:r>
        <w:t>The study contributes a long-panel, outcome-specific framework that keeps measurement, causal attribution, prediction, intervention mechanisms and conservation prioritisation analytically separate. This prevents descriptive change, predictive association and causal effect from being conflated.</w:t>
      </w:r>
    </w:p>
    <w:p>
      <w:pPr/>
      <w:r>
        <w:t>The work is designed to support transparent forest management, restoration planning, protected-area monitoring and humanitarian-environmental coordination while avoiding collective-blame interpretations.</w:t>
      </w:r>
    </w:p>
    <w:p>
      <w:pPr>
        <w:pStyle w:val="Heading2"/>
      </w:pPr>
      <w:r>
        <w:t>1.8 Scope and Delimitations</w:t>
      </w:r>
    </w:p>
    <w:p>
      <w:pPr/>
      <w:r>
        <w:t>The study focuses on Ukhiya and Teknaf Upazilas, including Rohingya camp landscapes, surrounding forest, protected/reserve areas and suitable comparison landscapes. Treatment, spillover and donor zones remain provisional pending annual camp-footprint reconstruction, covariate refinement, projected-grid preparation and SDID diagnostics.</w:t>
      </w:r>
    </w:p>
    <w:p>
      <w:pPr/>
      <w:r>
        <w:t>The framework is 2001–2025: 2001–2016 is the principal pre-influx period, 2017 is a transition year, and 2018 onward is the post-influx period. Confirmed Hansen annual loss observations currently end in 2024; 2025 is conditional on a complete validated release.</w:t>
      </w:r>
    </w:p>
    <w:p>
      <w:pPr/>
      <w:r>
        <w:t>Carbon scope is above-ground biomass carbon associated with forest change. It does not represent complete ecosystem carbon, and the annual carbon-series protocol for ESA CCI missing years is not yet locked.</w:t>
      </w:r>
    </w:p>
    <w:p>
      <w:pPr>
        <w:pStyle w:val="Heading2"/>
      </w:pPr>
      <w:r>
        <w:t>1.9 Expected Research Outputs</w:t>
      </w:r>
    </w:p>
    <w:p>
      <w:pPr/>
      <w:r>
        <w:t>Expected outputs are annual forest and fragmentation outcomes, conditional SDID estimates, observed and attributable carbon accounting with uncertainty, predictive-risk outputs, intervention-context interpretation and conservation-priority mapping. Final outputs will be reported only after empirical construction, validation and robustness testing.</w:t>
      </w:r>
    </w:p>
    <w:p>
      <w:pPr>
        <w:pStyle w:val="Heading1"/>
      </w:pPr>
      <w:r>
        <w:t>2. Literature Review</w:t>
      </w:r>
    </w:p>
    <w:p>
      <w:pPr>
        <w:pStyle w:val="Heading2"/>
      </w:pPr>
      <w:r>
        <w:t>2.1 Literature Review Approach</w:t>
      </w:r>
    </w:p>
    <w:p>
      <w:pPr/>
      <w:r>
        <w:t>This chapter reports a targeted literature review and quality-weighted narrative evidence synthesis, not a comprehensive systematic or PRISMA review. Nineteen papers were reviewed as eighteen evidence families. Sixteen papers had full-text review; three papers (P003, P004 and P015) remained partial-access and were given lower-confidence treatment. P011 and P012 are overlapping publications and their shared forest-loss result is counted once.</w:t>
      </w:r>
    </w:p>
    <w:p>
      <w:pPr>
        <w:pStyle w:val="Heading2"/>
      </w:pPr>
      <w:r>
        <w:t>2.2 Forest and Vegetation Loss</w:t>
      </w:r>
    </w:p>
    <w:p>
      <w:pPr/>
      <w:r>
        <w:t>The literature consistently indicates substantial post-2017 forest and vegetation decline in Rohingya-affected landscapes. P001, P006 and P010 provide direct remote-sensing evidence, while the overlapping P011/P012 family contributes one additional 2017–2021 LULC evidence family. P002 provides a conventional Difference-in-Differences benchmark and P008 provides matched annual event-study evidence. Broad vegetation proxies and partial-access studies support context but are not numerically pooled with forest-specific outcomes.</w:t>
      </w:r>
    </w:p>
    <w:p>
      <w:pPr>
        <w:pStyle w:val="Heading2"/>
      </w:pPr>
      <w:r>
        <w:t>2.3 Fragmentation and Connectivity</w:t>
      </w:r>
    </w:p>
    <w:p>
      <w:pPr/>
      <w:r>
        <w:t>P006 and P017 provide the strongest verified fragmentation evidence, indicating patch subdivision, edge creation, reduced aggregation and protected-area boundary pressure. P003 is relevant but remains conditional because full methods and results are not completely accessible. Existing studies do not provide an annual, causally attributed fragmentation and connectivity series.</w:t>
      </w:r>
    </w:p>
    <w:p>
      <w:pPr>
        <w:pStyle w:val="Heading2"/>
      </w:pPr>
      <w:r>
        <w:t>2.4 Biomass and Carbon Impacts</w:t>
      </w:r>
    </w:p>
    <w:p>
      <w:pPr/>
      <w:r>
        <w:t>Carbon-related evidence is more limited than forest-cover evidence. P005 provides field-based biomass and carbon evidence from restored sites, whereas P010 represents observed and projected carbon decline through land-cover modelling. These sources establish ecological relevance but do not provide annual, landscape-wide, causally attributable carbon loss with integrated uncertainty.</w:t>
      </w:r>
    </w:p>
    <w:p>
      <w:pPr>
        <w:pStyle w:val="Heading2"/>
      </w:pPr>
      <w:r>
        <w:t>2.5 Restoration, Recovery and Resilience</w:t>
      </w:r>
    </w:p>
    <w:p>
      <w:pPr/>
      <w:r>
        <w:t>P016 identifies incomplete but measurable greenness recovery in reforested Kutupalong plots, and P005 documents biomass/carbon stocks in restored areas. Comparative studies P009 and P014 show that managed restoration, succession and camp-life-cycle change can produce visible recovery. EVI recovery, forest-cover recovery, structural recovery, biomass recovery and carbon recovery remain distinct outcomes.</w:t>
      </w:r>
    </w:p>
    <w:p>
      <w:pPr>
        <w:pStyle w:val="Heading2"/>
      </w:pPr>
      <w:r>
        <w:t>2.6 Existing Causal Evidence</w:t>
      </w:r>
    </w:p>
    <w:p>
      <w:pPr/>
      <w:r>
        <w:t>P002 and P008 supply the principal existing causal evidence. Their results are important but not directly interchangeable because they use different periods, treatment/control definitions and estimands. P007 provides the SDID methodological framework. Neither P002 nor P008 combines a long 2001–2016 pre-period, annual fragmentation outcomes and attributable carbon accounting.</w:t>
      </w:r>
    </w:p>
    <w:p>
      <w:pPr>
        <w:pStyle w:val="Heading2"/>
      </w:pPr>
      <w:r>
        <w:t>2.7 Prediction, Governance and Environmental Mechanisms</w:t>
      </w:r>
    </w:p>
    <w:p>
      <w:pPr/>
      <w:r>
        <w:t>P004, P010, P013 and P017 provide predictive or scenario evidence; these projections are not causal forecasts. P018 and verified intervention records provide governance and mechanism context. LPG distribution, fencing and restoration may help interpret post-2019 patterns, but individual intervention effects are not causally isolated by the reviewed evidence.</w:t>
      </w:r>
    </w:p>
    <w:p>
      <w:pPr>
        <w:pStyle w:val="Heading2"/>
      </w:pPr>
      <w:r>
        <w:t>2.8 Biodiversity and Protected-Area Implications</w:t>
      </w:r>
    </w:p>
    <w:p>
      <w:pPr/>
      <w:r>
        <w:t>P017 provides the strongest verified evidence of protected-area-adjacent fragmentation, habitat-quality decline and a diagnostic 300–500 m transition zone around Teknaf Wildlife Sanctuary. P015 raises Asian-elephant corridor concerns but remains partial-access and cannot establish actual animal movement or mortality from mapped overlap.</w:t>
      </w:r>
    </w:p>
    <w:p>
      <w:pPr>
        <w:pStyle w:val="Heading2"/>
      </w:pPr>
      <w:r>
        <w:t>2.9 Evidence Conflicts and Limitations</w:t>
      </w:r>
    </w:p>
    <w:p>
      <w:pPr/>
      <w:r>
        <w:t>The synthesis does not use meta-analysis because studies differ in spatial domain, period, forest definition, resolution, outcome unit and treatment boundary. Forest and broad vegetation remain separate; gross, gain and net loss remain separate; predictive, descriptive and causal findings remain separate; and P011/P012 are counted once. Habitat-quality and ecological-quality indices are supplementary modelled indicators, not independent forest or biodiversity observations.</w:t>
      </w:r>
    </w:p>
    <w:p>
      <w:pPr>
        <w:pStyle w:val="Heading2"/>
      </w:pPr>
      <w:r>
        <w:t>2.10 Research Gap and Proposed Contribution</w:t>
      </w:r>
    </w:p>
    <w:p>
      <w:pPr/>
      <w:r>
        <w:t>Within the reviewed literature, no study jointly combines a long annual 2001–2025 forest panel, time-varying camp exposure, SDID causal attribution, annual fragmentation, attributable above-ground carbon loss, uncertainty propagation, spatially validated SHAP prediction and conservation-priority mapping. The proposed study extends existing evidence; it does not claim to be the first causal, fragmentation or carbon study in the Rohingya landscape.</w:t>
      </w:r>
    </w:p>
    <w:p>
      <w:pPr>
        <w:pStyle w:val="Heading1"/>
      </w:pPr>
      <w:r>
        <w:t>3. Study Area</w:t>
      </w:r>
    </w:p>
    <w:p>
      <w:pPr/>
      <w:r>
        <w:t>The study area comprises the Rohingya-affected landscapes of Ukhiya and Teknaf Upazilas in Cox's Bazar, including major camp clusters such as Kutupalong–Balukhali and Nayapara–Teknaf, surrounding forest, protected/reserve landscapes and relevant comparison areas.</w:t>
      </w:r>
    </w:p>
    <w:p>
      <w:pPr/>
      <w:r>
        <w:t>Treatment, spillover and donor zones are provisional. The initial feasibility design treats camp core plus 0–5 km as a provisional affected zone, excludes 5–20 km as a possible spillover zone, and begins donor search beyond 20 km. Final zones will be defined using reconstructed annual camp exposure, a Bangladesh administrative mask, covariates and SDID diagnostics.</w:t>
      </w:r>
    </w:p>
    <w:p>
      <w:pPr/>
      <w:r>
        <w:t>The final analytical grid will be constructed in WGS 84 / UTM Zone 46N (EPSG:32646). Official camp-boundary snapshots from 2018, 2023 and 2024, together with satellite-derived missing-year exposure, will support temporal reconstruction. No final treatment polygon or exact treatment area is reported at this stage.</w:t>
      </w:r>
    </w:p>
    <w:p>
      <w:pPr/>
      <w:r>
        <w:t>Temporal framework: 2001–2016 pre-influx; 2017 transition; 2018 onward post-influx. The research framework is 2001–2025, but confirmed Hansen loss-year outcome data currently cover 2001–2024 and 2025 remains conditional.</w:t>
      </w:r>
    </w:p>
    <w:p>
      <w:pPr>
        <w:pStyle w:val="Heading1"/>
      </w:pPr>
      <w:r>
        <w:t>4. Data and Methods</w:t>
      </w:r>
    </w:p>
    <w:p>
      <w:pPr>
        <w:pStyle w:val="Heading2"/>
      </w:pPr>
      <w:r>
        <w:t>4.1 Research Design</w:t>
      </w:r>
    </w:p>
    <w:p>
      <w:pPr/>
      <w:r>
        <w:t>This is a locked/proposed empirical design, not a completed-results section. Environmental measurement, causal attribution, predictive risk modelling, intervention interpretation and conservation prioritisation will remain analytically separate throughout the study.</w:t>
      </w:r>
    </w:p>
    <w:p>
      <w:pPr/>
      <w:r>
        <w:t>Hansen/JRC will measure environmental outcomes; SDID will estimate causal effects under stated assumptions; machine learning and SHAP will model predictive associations; the intervention register will support mechanism interpretation; and protected-area/corridor layers will support conservation prioritisation.</w:t>
      </w:r>
    </w:p>
    <w:p>
      <w:pPr>
        <w:pStyle w:val="Heading2"/>
      </w:pPr>
      <w:r>
        <w:t>4.2 Datasets</w:t>
      </w:r>
    </w:p>
    <w:p>
      <w:pPr/>
      <w:r>
        <w:t>The following data strategy is locked at feasibility level. “Pilot verified” confirms access and opening of a small AOI file; it does not mean full empirical construction is complete.</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Pr>
          <w:p>
            <w:r>
              <w:rPr>
                <w:sz w:val="16"/>
              </w:rPr>
              <w:t>Component</w:t>
            </w:r>
          </w:p>
        </w:tc>
        <w:tc>
          <w:tcPr>
            <w:tcW w:type="dxa" w:w="2880"/>
          </w:tcPr>
          <w:p>
            <w:r>
              <w:rPr>
                <w:sz w:val="16"/>
              </w:rPr>
              <w:t>Source</w:t>
            </w:r>
          </w:p>
        </w:tc>
        <w:tc>
          <w:tcPr>
            <w:tcW w:type="dxa" w:w="2880"/>
          </w:tcPr>
          <w:p>
            <w:r>
              <w:rPr>
                <w:sz w:val="16"/>
              </w:rPr>
              <w:t>Current status</w:t>
            </w:r>
          </w:p>
        </w:tc>
      </w:tr>
      <w:tr>
        <w:tc>
          <w:tcPr>
            <w:tcW w:type="dxa" w:w="2880"/>
          </w:tcPr>
          <w:p>
            <w:r>
              <w:rPr>
                <w:sz w:val="16"/>
              </w:rPr>
              <w:t>Forest loss</w:t>
            </w:r>
          </w:p>
        </w:tc>
        <w:tc>
          <w:tcPr>
            <w:tcW w:type="dxa" w:w="2880"/>
          </w:tcPr>
          <w:p>
            <w:r>
              <w:rPr>
                <w:sz w:val="16"/>
              </w:rPr>
              <w:t>Hansen GFC v1.12</w:t>
            </w:r>
          </w:p>
        </w:tc>
        <w:tc>
          <w:tcPr>
            <w:tcW w:type="dxa" w:w="2880"/>
          </w:tcPr>
          <w:p>
            <w:r>
              <w:rPr>
                <w:sz w:val="16"/>
              </w:rPr>
              <w:t>Pilot verified; 2001–2024 confirmed, 2025 conditional</w:t>
            </w:r>
          </w:p>
        </w:tc>
      </w:tr>
      <w:tr>
        <w:tc>
          <w:tcPr>
            <w:tcW w:type="dxa" w:w="2880"/>
          </w:tcPr>
          <w:p>
            <w:r>
              <w:rPr>
                <w:sz w:val="16"/>
              </w:rPr>
              <w:t>Forest state</w:t>
            </w:r>
          </w:p>
        </w:tc>
        <w:tc>
          <w:tcPr>
            <w:tcW w:type="dxa" w:w="2880"/>
          </w:tcPr>
          <w:p>
            <w:r>
              <w:rPr>
                <w:sz w:val="16"/>
              </w:rPr>
              <w:t>JRC TMF</w:t>
            </w:r>
          </w:p>
        </w:tc>
        <w:tc>
          <w:tcPr>
            <w:tcW w:type="dxa" w:w="2880"/>
          </w:tcPr>
          <w:p>
            <w:r>
              <w:rPr>
                <w:sz w:val="16"/>
              </w:rPr>
              <w:t>Accessible; validation/degradation-regrowth source</w:t>
            </w:r>
          </w:p>
        </w:tc>
      </w:tr>
      <w:tr>
        <w:tc>
          <w:tcPr>
            <w:tcW w:type="dxa" w:w="2880"/>
          </w:tcPr>
          <w:p>
            <w:r>
              <w:rPr>
                <w:sz w:val="16"/>
              </w:rPr>
              <w:t>Camp exposure</w:t>
            </w:r>
          </w:p>
        </w:tc>
        <w:tc>
          <w:tcPr>
            <w:tcW w:type="dxa" w:w="2880"/>
          </w:tcPr>
          <w:p>
            <w:r>
              <w:rPr>
                <w:sz w:val="16"/>
              </w:rPr>
              <w:t>IOM NPM 2018 Majhee Blocks; ISCG 2023 A1 Camp Outlines; ISCG 2024 A2 Blocks and A3 Sub-Blocks; satellite reconstruction for missing years</w:t>
            </w:r>
          </w:p>
        </w:tc>
        <w:tc>
          <w:tcPr>
            <w:tcW w:type="dxa" w:w="2880"/>
          </w:tcPr>
          <w:p>
            <w:r>
              <w:rPr>
                <w:sz w:val="16"/>
              </w:rPr>
              <w:t>Official 2018, 2023 and 2024 layers processed and geometry-verified; 2016–2017 and remaining missing-year footprints pending</w:t>
            </w:r>
          </w:p>
        </w:tc>
      </w:tr>
      <w:tr>
        <w:tc>
          <w:tcPr>
            <w:tcW w:type="dxa" w:w="2880"/>
          </w:tcPr>
          <w:p>
            <w:r>
              <w:rPr>
                <w:sz w:val="16"/>
              </w:rPr>
              <w:t>Biomass</w:t>
            </w:r>
          </w:p>
        </w:tc>
        <w:tc>
          <w:tcPr>
            <w:tcW w:type="dxa" w:w="2880"/>
          </w:tcPr>
          <w:p>
            <w:r>
              <w:rPr>
                <w:sz w:val="16"/>
              </w:rPr>
              <w:t>ESA CCI Biomass v7</w:t>
            </w:r>
          </w:p>
        </w:tc>
        <w:tc>
          <w:tcPr>
            <w:tcW w:type="dxa" w:w="2880"/>
          </w:tcPr>
          <w:p>
            <w:r>
              <w:rPr>
                <w:sz w:val="16"/>
              </w:rPr>
              <w:t>Pilot verified; annual carbon protocol needs refinement</w:t>
            </w:r>
          </w:p>
        </w:tc>
      </w:tr>
      <w:tr>
        <w:tc>
          <w:tcPr>
            <w:tcW w:type="dxa" w:w="2880"/>
          </w:tcPr>
          <w:p>
            <w:r>
              <w:rPr>
                <w:sz w:val="16"/>
              </w:rPr>
              <w:t>Biomass support</w:t>
            </w:r>
          </w:p>
        </w:tc>
        <w:tc>
          <w:tcPr>
            <w:tcW w:type="dxa" w:w="2880"/>
          </w:tcPr>
          <w:p>
            <w:r>
              <w:rPr>
                <w:sz w:val="16"/>
              </w:rPr>
              <w:t>GEDI</w:t>
            </w:r>
          </w:p>
        </w:tc>
        <w:tc>
          <w:tcPr>
            <w:tcW w:type="dxa" w:w="2880"/>
          </w:tcPr>
          <w:p>
            <w:r>
              <w:rPr>
                <w:sz w:val="16"/>
              </w:rPr>
              <w:t>Alternative/validation support</w:t>
            </w:r>
          </w:p>
        </w:tc>
      </w:tr>
      <w:tr>
        <w:tc>
          <w:tcPr>
            <w:tcW w:type="dxa" w:w="2880"/>
          </w:tcPr>
          <w:p>
            <w:r>
              <w:rPr>
                <w:sz w:val="16"/>
              </w:rPr>
              <w:t>Elevation/slope</w:t>
            </w:r>
          </w:p>
        </w:tc>
        <w:tc>
          <w:tcPr>
            <w:tcW w:type="dxa" w:w="2880"/>
          </w:tcPr>
          <w:p>
            <w:r>
              <w:rPr>
                <w:sz w:val="16"/>
              </w:rPr>
              <w:t>SRTM</w:t>
            </w:r>
          </w:p>
        </w:tc>
        <w:tc>
          <w:tcPr>
            <w:tcW w:type="dxa" w:w="2880"/>
          </w:tcPr>
          <w:p>
            <w:r>
              <w:rPr>
                <w:sz w:val="16"/>
              </w:rPr>
              <w:t>Pending</w:t>
            </w:r>
          </w:p>
        </w:tc>
      </w:tr>
      <w:tr>
        <w:tc>
          <w:tcPr>
            <w:tcW w:type="dxa" w:w="2880"/>
          </w:tcPr>
          <w:p>
            <w:r>
              <w:rPr>
                <w:sz w:val="16"/>
              </w:rPr>
              <w:t>Roads</w:t>
            </w:r>
          </w:p>
        </w:tc>
        <w:tc>
          <w:tcPr>
            <w:tcW w:type="dxa" w:w="2880"/>
          </w:tcPr>
          <w:p>
            <w:r>
              <w:rPr>
                <w:sz w:val="16"/>
              </w:rPr>
              <w:t>OpenStreetMap</w:t>
            </w:r>
          </w:p>
        </w:tc>
        <w:tc>
          <w:tcPr>
            <w:tcW w:type="dxa" w:w="2880"/>
          </w:tcPr>
          <w:p>
            <w:r>
              <w:rPr>
                <w:sz w:val="16"/>
              </w:rPr>
              <w:t>Pending</w:t>
            </w:r>
          </w:p>
        </w:tc>
      </w:tr>
      <w:tr>
        <w:tc>
          <w:tcPr>
            <w:tcW w:type="dxa" w:w="2880"/>
          </w:tcPr>
          <w:p>
            <w:r>
              <w:rPr>
                <w:sz w:val="16"/>
              </w:rPr>
              <w:t>Protected areas</w:t>
            </w:r>
          </w:p>
        </w:tc>
        <w:tc>
          <w:tcPr>
            <w:tcW w:type="dxa" w:w="2880"/>
          </w:tcPr>
          <w:p>
            <w:r>
              <w:rPr>
                <w:sz w:val="16"/>
              </w:rPr>
              <w:t>WDPA/BFD</w:t>
            </w:r>
          </w:p>
        </w:tc>
        <w:tc>
          <w:tcPr>
            <w:tcW w:type="dxa" w:w="2880"/>
          </w:tcPr>
          <w:p>
            <w:r>
              <w:rPr>
                <w:sz w:val="16"/>
              </w:rPr>
              <w:t>Pending</w:t>
            </w:r>
          </w:p>
        </w:tc>
      </w:tr>
      <w:tr>
        <w:tc>
          <w:tcPr>
            <w:tcW w:type="dxa" w:w="2880"/>
          </w:tcPr>
          <w:p>
            <w:r>
              <w:rPr>
                <w:sz w:val="16"/>
              </w:rPr>
              <w:t>Population</w:t>
            </w:r>
          </w:p>
        </w:tc>
        <w:tc>
          <w:tcPr>
            <w:tcW w:type="dxa" w:w="2880"/>
          </w:tcPr>
          <w:p>
            <w:r>
              <w:rPr>
                <w:sz w:val="16"/>
              </w:rPr>
              <w:t>UNHCR/IOM/ISCG</w:t>
            </w:r>
          </w:p>
        </w:tc>
        <w:tc>
          <w:tcPr>
            <w:tcW w:type="dxa" w:w="2880"/>
          </w:tcPr>
          <w:p>
            <w:r>
              <w:rPr>
                <w:sz w:val="16"/>
              </w:rPr>
              <w:t>Located; integration pending</w:t>
            </w:r>
          </w:p>
        </w:tc>
      </w:tr>
    </w:tbl>
    <w:p>
      <w:pPr/>
      <w:r>
        <w:t>Official camp-boundary products were obtained for 2018, 2023 and 2024. The 2018 IOM NPM source contained Majhee Block polygons, the 2023 ISCG product contained A1 camp outlines, and the 2024 geodatabase contained A2 camp-block and A3 camp-sub-block layers. Raw source files were retained unchanged. All derived analytical layers were processed separately and standardized to WGS 84 / UTM Zone 46N (EPSG:32646).</w:t>
      </w:r>
    </w:p>
    <w:p>
      <w:pPr>
        <w:pStyle w:val="Heading2"/>
      </w:pPr>
      <w:r>
        <w:t>4.3 Study-Area and Grid Preparation</w:t>
      </w:r>
    </w:p>
    <w:p>
      <w:pPr/>
      <w:r>
        <w:t>Camp, spillover and donor areas will be prepared in EPSG:32646 using a common projected grid. The preliminary 36 × 36 Hansen-pixel cell is approximately 1.08 km north–south; final 500 m, 1 km and 2 km sensitivity grids will be assessed. A Bangladesh administrative mask and covariates will be added before final donor selection.</w:t>
      </w:r>
    </w:p>
    <w:p>
      <w:pPr>
        <w:pStyle w:val="Heading2"/>
      </w:pPr>
      <w:r>
        <w:t>4.4 Official Camp Boundary Processing</w:t>
      </w:r>
    </w:p>
    <w:p>
      <w:pPr/>
      <w:r>
        <w:t>Annual camp exposure will combine official 2018, 2023 and 2024 boundary snapshots with satellite-derived 2016–2017 and other missing-year footprints. Population tables will be joined as exposure/context information. Raw official boundary files will remain unedited; processed exposure layers will be created separately.</w:t>
      </w:r>
    </w:p>
    <w:p>
      <w:pPr>
        <w:pStyle w:val="Heading3"/>
      </w:pPr>
      <w:r>
        <w:t>4.4.1 Geometry Standardisation</w:t>
      </w:r>
    </w:p>
    <w:p>
      <w:pPr/>
      <w:r>
        <w:t>Official camp-boundary processing was conducted in QGIS 3.44.12. The analytical coordinate reference system was WGS 84 / UTM Zone 46N (EPSG:32646), allowing area, distance, overlay and buffer operations in metres. Raw official files were not edited. Processed and derived layers were stored separately.</w:t>
      </w:r>
    </w:p>
    <w:p>
      <w:pPr/>
      <w:r>
        <w:t>The 2018 IOM NPM source consisted of 1,766 Majhee Block polygons. The Site field contained 38 unique site values and no null values. The polygons were first repaired using the QGIS Fix Geometries algorithm and then dissolved by Site to construct 38 camp/site-level administrative geometries.</w:t>
      </w:r>
    </w:p>
    <w:p>
      <w:pPr/>
      <w:r>
        <w:t>The 2023 ISCG A1 source consisted of 33 camp-outline polygons. The layer was already projected in EPSG:32646 and was retained as the official 2023 camp-level reference.</w:t>
      </w:r>
    </w:p>
    <w:p>
      <w:pPr/>
      <w:r>
        <w:t>The 2024 ISCG A2 source consisted of 182 camp-block polygons representing 33 unique CampSSID values. The source was reprojected from EPSG:4326 to EPSG:32646 and dissolved by CampSSID to produce 33 camp-level geometries.</w:t>
      </w:r>
    </w:p>
    <w:p>
      <w:pPr/>
      <w:r>
        <w:t>The 2024 ISCG A3 source consisted of 966 sub-block polygons representing 32 unique CampSSID values. It was also reprojected to EPSG:32646 and dissolved by CampSSID. Because the A3 hierarchy did not provide complete coverage for all camps and blocks, it was used as a supplementary validation source rather than the primary 2024 extent.</w:t>
      </w:r>
    </w:p>
    <w:p>
      <w:pPr>
        <w:pStyle w:val="Heading3"/>
      </w:pPr>
      <w:r>
        <w:t>4.4.2 Historical Identifier Crosswalk</w:t>
      </w:r>
    </w:p>
    <w:p>
      <w:pPr/>
      <w:r>
        <w:t>Purpose — The 2018 IOM NPM product used the Site field as its camp-level identifier, whereas the 2023 ISCG A1 product used CampSSID. Because the identifier structures were not directly compatible, a spatial crosswalk was required before annual exposure reconstruction.</w:t>
      </w:r>
    </w:p>
    <w:p>
      <w:pPr/>
      <w:r>
        <w:t>Input Dataset(s) — The crosswalk used the 38 verified 2018 administrative site polygons in camp_admin_extent_2018_ringclean_v2.gpkg and the 33 verified 2023 A1 camp polygons in FINAL_2023_Camp_Admin_Extent_Area.gpkg, both in EPSG:32646.</w:t>
      </w:r>
    </w:p>
    <w:p>
      <w:pPr/>
      <w:r>
        <w:t>Method / Tool — In QGIS, the verified polygons were intersected, intersection areas were calculated in hectares, and the results were aggregated for each unique Site–CampSSID pair. For each 2018 site, the 2023 camp with the largest total intersecting area was selected as the primary spatial match.</w:t>
      </w:r>
    </w:p>
    <w:p>
      <w:pPr/>
      <w:r>
        <w:t>Output Dataset — The final identifier crosswalk is stored as camp_crosswalk_2018_2023_final.csv. Supporting spatial QA layers are retained in the Validation folder.</w:t>
      </w:r>
    </w:p>
    <w:p>
      <w:pPr/>
      <w:r>
        <w:t>Results / QA Metrics — Primary overlap percentage was calculated as primary intersecting area divided by total 2018 site area. Matches with at least 95% overlap were classified as High confidence, matches from 80% to less than 95% as Moderate confidence, and matches below 80% as Low confidence. Sites with no spatial intersection were retained as unmatched and were not force-assigned to the nearest camp.</w:t>
      </w:r>
    </w:p>
    <w:p>
      <w:pPr/>
      <w:r>
        <w:t>Interpretation — Dominant spatial overlap provides a reproducible bridge between the historical Site hierarchy and the later CampSSID hierarchy while retaining the one unmatched historical site explicitly.</w:t>
      </w:r>
    </w:p>
    <w:p>
      <w:pPr>
        <w:pStyle w:val="Heading3"/>
      </w:pPr>
      <w:r>
        <w:t>4.4.3 Annual Exposure Reconstruction</w:t>
      </w:r>
    </w:p>
    <w:p>
      <w:pPr>
        <w:pStyle w:val="Heading4"/>
      </w:pPr>
      <w:r>
        <w:t>4.4.3.1 Reconstruction Processing AOI</w:t>
      </w:r>
    </w:p>
    <w:p>
      <w:pPr/>
      <w:r>
        <w:t>A provisional processing area was constructed for annual satellite-based camp-exposure reconstruction. The verified 2018, 2023 and 2024 A2-derived official camp layers were merged, producing 104 source features, and dissolved without a grouping field into a single multipart geometry. A 2,000 m buffer was then generated in WGS 84 / UTM Zone 46N (EPSG:32646) using round joins, 20 segments and a dissolved output.</w:t>
      </w:r>
    </w:p>
    <w:p>
      <w:pPr/>
      <w:r>
        <w:t>The resulting layer, reconstruction_aoi_2016_2024_2km_final.gpkg, contained one valid multipart feature. Strict QGIS validity testing returned one valid feature, zero invalid features and zero geometry errors. The AOI covered approximately 189.372 km².</w:t>
      </w:r>
    </w:p>
    <w:p>
      <w:pPr/>
      <w:r>
        <w:t>This geometry is used only as a satellite-image processing and reconstruction AOI. It is not a final treatment, spillover or donor-zone boundary.</w:t>
      </w:r>
    </w:p>
    <w:p>
      <w:pPr/>
      <w:r>
        <w:t>Output files — official_camp_snapshots_2018_2024_merged.gpkg; official_camp_snapshots_2018_2024_union.gpkg; reconstruction_aoi_2016_2024_2km_final.gpkg; reconstruction_aoi_2016_2024_2km_wgs84.zip. Path: 04_Data/02_Camp_Exposure/Annual_Reconstruction/01_AOI/.</w:t>
      </w:r>
    </w:p>
    <w:p>
      <w:pPr/>
      <w:r>
        <w:t>Earth Engine asset — projects/rohingya-forest-impact-2026/assets/reconstruction_aoi_2016_2024_2km.</w:t>
      </w:r>
    </w:p>
    <w:p>
      <w:pPr>
        <w:pStyle w:val="Heading4"/>
      </w:pPr>
      <w:r>
        <w:t>4.4.3.2 2016 Imagery Source and Seasonal-Window Selection</w:t>
      </w:r>
    </w:p>
    <w:p>
      <w:pPr/>
      <w:r>
        <w:t>Landsat 8 Collection 2 Tier 1 Level 2 Surface Reflectance imagery was evaluated for the 2016 pre-influx settlement and land-surface baseline. Cloud, cirrus, dilated-cloud, cloud-shadow, snow, fill and radiometrically saturated pixels were removed using the QA_PIXEL and QA_RADSAT bands. Surface-reflectance bands were scaled using the Collection 2 Level 2 scale factor and offset.</w:t>
      </w:r>
    </w:p>
    <w:p>
      <w:pPr/>
      <w:r>
        <w:t>Three candidate temporal windows were evaluated using scene count, scene-level cloud-cover statistics, AOI-based valid-pixel coverage and visual interpretation.</w:t>
      </w:r>
    </w:p>
    <w:p>
      <w:pPr/>
      <w:r>
        <w:t>Table. Candidate 2016 Landsat seasonal windows evaluated for the reconstruction AOI.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Candidate window</w:t>
            </w:r>
          </w:p>
        </w:tc>
        <w:tc>
          <w:tcPr>
            <w:tcW w:type="dxa" w:w="2160"/>
          </w:tcPr>
          <w:p>
            <w:r>
              <w:rPr>
                <w:sz w:val="16"/>
              </w:rPr>
              <w:t>Scene count</w:t>
            </w:r>
          </w:p>
        </w:tc>
        <w:tc>
          <w:tcPr>
            <w:tcW w:type="dxa" w:w="2160"/>
          </w:tcPr>
          <w:p>
            <w:r>
              <w:rPr>
                <w:sz w:val="16"/>
              </w:rPr>
              <w:t>Mean cloud cover</w:t>
            </w:r>
          </w:p>
        </w:tc>
        <w:tc>
          <w:tcPr>
            <w:tcW w:type="dxa" w:w="2160"/>
          </w:tcPr>
          <w:p>
            <w:r>
              <w:rPr>
                <w:sz w:val="16"/>
              </w:rPr>
              <w:t>Valid-pixel coverage</w:t>
            </w:r>
          </w:p>
        </w:tc>
      </w:tr>
      <w:tr>
        <w:tc>
          <w:tcPr>
            <w:tcW w:type="dxa" w:w="2160"/>
          </w:tcPr>
          <w:p>
            <w:r>
              <w:rPr>
                <w:sz w:val="16"/>
              </w:rPr>
              <w:t>Jan–Apr 2016</w:t>
            </w:r>
          </w:p>
        </w:tc>
        <w:tc>
          <w:tcPr>
            <w:tcW w:type="dxa" w:w="2160"/>
          </w:tcPr>
          <w:p>
            <w:r>
              <w:rPr>
                <w:sz w:val="16"/>
              </w:rPr>
              <w:t>28</w:t>
            </w:r>
          </w:p>
        </w:tc>
        <w:tc>
          <w:tcPr>
            <w:tcW w:type="dxa" w:w="2160"/>
          </w:tcPr>
          <w:p>
            <w:r>
              <w:rPr>
                <w:sz w:val="16"/>
              </w:rPr>
              <w:t>22.74%</w:t>
            </w:r>
          </w:p>
        </w:tc>
        <w:tc>
          <w:tcPr>
            <w:tcW w:type="dxa" w:w="2160"/>
          </w:tcPr>
          <w:p>
            <w:r>
              <w:rPr>
                <w:sz w:val="16"/>
              </w:rPr>
              <w:t>99.738%</w:t>
            </w:r>
          </w:p>
        </w:tc>
      </w:tr>
      <w:tr>
        <w:tc>
          <w:tcPr>
            <w:tcW w:type="dxa" w:w="2160"/>
          </w:tcPr>
          <w:p>
            <w:r>
              <w:rPr>
                <w:sz w:val="16"/>
              </w:rPr>
              <w:t>Nov 2015–Apr 2016</w:t>
            </w:r>
          </w:p>
        </w:tc>
        <w:tc>
          <w:tcPr>
            <w:tcW w:type="dxa" w:w="2160"/>
          </w:tcPr>
          <w:p>
            <w:r>
              <w:rPr>
                <w:sz w:val="16"/>
              </w:rPr>
              <w:t>42</w:t>
            </w:r>
          </w:p>
        </w:tc>
        <w:tc>
          <w:tcPr>
            <w:tcW w:type="dxa" w:w="2160"/>
          </w:tcPr>
          <w:p>
            <w:r>
              <w:rPr>
                <w:sz w:val="16"/>
              </w:rPr>
              <w:t>16.96%</w:t>
            </w:r>
          </w:p>
        </w:tc>
        <w:tc>
          <w:tcPr>
            <w:tcW w:type="dxa" w:w="2160"/>
          </w:tcPr>
          <w:p>
            <w:r>
              <w:rPr>
                <w:sz w:val="16"/>
              </w:rPr>
              <w:t>99.738%</w:t>
            </w:r>
          </w:p>
        </w:tc>
      </w:tr>
      <w:tr>
        <w:tc>
          <w:tcPr>
            <w:tcW w:type="dxa" w:w="2160"/>
          </w:tcPr>
          <w:p>
            <w:r>
              <w:rPr>
                <w:sz w:val="16"/>
              </w:rPr>
              <w:t>Full year 2016</w:t>
            </w:r>
          </w:p>
        </w:tc>
        <w:tc>
          <w:tcPr>
            <w:tcW w:type="dxa" w:w="2160"/>
          </w:tcPr>
          <w:p>
            <w:r>
              <w:rPr>
                <w:sz w:val="16"/>
              </w:rPr>
              <w:t>69</w:t>
            </w:r>
          </w:p>
        </w:tc>
        <w:tc>
          <w:tcPr>
            <w:tcW w:type="dxa" w:w="2160"/>
          </w:tcPr>
          <w:p>
            <w:r>
              <w:rPr>
                <w:sz w:val="16"/>
              </w:rPr>
              <w:t>26.09%</w:t>
            </w:r>
          </w:p>
        </w:tc>
        <w:tc>
          <w:tcPr>
            <w:tcW w:type="dxa" w:w="2160"/>
          </w:tcPr>
          <w:p>
            <w:r>
              <w:rPr>
                <w:sz w:val="16"/>
              </w:rPr>
              <w:t>99.738%</w:t>
            </w:r>
          </w:p>
        </w:tc>
      </w:tr>
    </w:tbl>
    <w:p>
      <w:r/>
    </w:p>
    <w:p>
      <w:pPr/>
      <w:r>
        <w:t>The period from 1 November 2015 to 30 April 2016 was selected. All candidate windows provided nearly identical valid-pixel coverage, but the selected window had the lowest mean scene cloud cover and retained a dry-season acquisition period without including any post-influx dates. Visual inspection found no obvious large cloud patches, major cloud-shadow contamination or large missing-data gaps.</w:t>
      </w:r>
    </w:p>
    <w:p>
      <w:pPr/>
      <w:r>
        <w:t>Interpretation — The product is documented as a 2016 pre-influx settlement and land-surface baseline. It is not reported as a 2016 Rohingya camp footprint at this stage, because settlement classification and physical-footprint delineation remain pending.</w:t>
      </w:r>
    </w:p>
    <w:p>
      <w:pPr>
        <w:pStyle w:val="Heading4"/>
      </w:pPr>
      <w:r>
        <w:t>4.4.3.3 Composite Construction and Export</w:t>
      </w:r>
    </w:p>
    <w:p>
      <w:pPr/>
      <w:r>
        <w:t>The selected 42 Landsat scenes were processed into a pixel-wise median Surface Reflectance composite. The composite was clipped to the reconstruction AOI and exported at 30 m resolution in EPSG:32646.</w:t>
      </w:r>
    </w:p>
    <w:p>
      <w:pPr/>
      <w:r>
        <w:t>Six reflectance bands and four spectral indices were retained: blue, green, red, near-infrared, SWIR1, SWIR2, NDVI, NDBI, MNDWI and BSI. A valid-observation-count band was also included to record the number of cloud-free observations contributing to each pixel.</w:t>
      </w:r>
    </w:p>
    <w:p>
      <w:pPr/>
      <w:r>
        <w:t>Output — L8_SR_2016_preinflux_windowB_composite_30m.tif. Path: 04_Data/02_Camp_Exposure/Annual_Reconstruction/03_Annual_Composites/.</w:t>
      </w:r>
    </w:p>
    <w:p>
      <w:pPr/>
      <w:r>
        <w:t>GEE scripts — 01_2016_Landsat_Window_Test; 02_2016_Landsat_Composite_Export (reproducibility archive).</w:t>
      </w:r>
    </w:p>
    <w:p>
      <w:pPr>
        <w:pStyle w:val="Heading2"/>
      </w:pPr>
      <w:r>
        <w:t>4.5 Forest-Loss Analysis</w:t>
      </w:r>
    </w:p>
    <w:p>
      <w:pPr/>
      <w:r>
        <w:t>Hansen GFC v1.12 will provide the primary annual loss-year outcome. Tree-cover baseline and loss-year information will be aggregated to the common grid as forest-loss proportions rather than raw pixel counts. JRC TMF will be used to validate annual state, degradation and regrowth interpretation. No 2025 Hansen result will be reported unless a complete validated release is available.</w:t>
      </w:r>
    </w:p>
    <w:p>
      <w:pPr>
        <w:pStyle w:val="Heading2"/>
      </w:pPr>
      <w:r>
        <w:t>4.6 Fragmentation Analysis</w:t>
      </w:r>
    </w:p>
    <w:p>
      <w:pPr/>
      <w:r>
        <w:t>Annual forest masks will support patch, edge, core-area, aggregation and connectivity metrics. Metrics will be calculated consistently across annual outcomes and evaluated at final projected-grid resolutions. Fragmentation results will be reported separately from forest area and from causal effects until the SDID analysis is completed.</w:t>
      </w:r>
    </w:p>
    <w:p>
      <w:pPr>
        <w:pStyle w:val="Heading2"/>
      </w:pPr>
      <w:r>
        <w:t>4.7 Biomass and Carbon Estimation</w:t>
      </w:r>
    </w:p>
    <w:p>
      <w:pPr/>
      <w:r>
        <w:t>ESA CCI Biomass v7 will provide a 100 m wall-to-wall above-ground biomass surface and AGB_SD uncertainty layer, aggregated to the common grid without creating artificial 30 m detail. GEDI and P005 field evidence will support validation/plausibility checks.</w:t>
      </w:r>
    </w:p>
    <w:p>
      <w:pPr/>
      <w:r>
        <w:t>The annual carbon-series method is not yet fully locked: ESA CCI v7 has annual maps for 2005–2012 and 2015–2024, leaving 2001–2004 and 2013–2014 unresolved. Before carbon analysis, the study must specify missing-year handling, loss-year biomass assignment, and separate accounting of biomass-surface change versus forest-loss × biomass change.</w:t>
      </w:r>
    </w:p>
    <w:p>
      <w:pPr>
        <w:pStyle w:val="Heading2"/>
      </w:pPr>
      <w:r>
        <w:t>4.8 Machine-Learning Analysis</w:t>
      </w:r>
    </w:p>
    <w:p>
      <w:pPr/>
      <w:r>
        <w:t>After covariate collection, machine-learning models will estimate spatial forest-loss risk using environmental, topographic, infrastructure, settlement and exposure variables. Spatial-block and temporal-holdout validation will be used where feasible. This component will produce predictive associations, not causal effects.</w:t>
      </w:r>
    </w:p>
    <w:p>
      <w:pPr>
        <w:pStyle w:val="Heading2"/>
      </w:pPr>
      <w:r>
        <w:t>4.9 Explainable AI</w:t>
      </w:r>
    </w:p>
    <w:p>
      <w:pPr/>
      <w:r>
        <w:t>SHAP will interpret the fitted predictive model by showing which variables are associated with predicted forest-loss risk. SHAP values will not be described as causal drivers and will be reported separately from SDID estimates.</w:t>
      </w:r>
    </w:p>
    <w:p>
      <w:pPr>
        <w:pStyle w:val="Heading2"/>
      </w:pPr>
      <w:r>
        <w:t>4.10 Causal-Inference Analysis</w:t>
      </w:r>
    </w:p>
    <w:p>
      <w:pPr/>
      <w:r>
        <w:t>SDID is the proposed primary causal estimator. It will use annual forest and fragmentation outcomes, reconstructed exposure, donor units and time/unit weighting. The preliminary donor pool is numerically sufficient (2,118 eligible cells), but acceptable weighted pre-treatment fit remains untested and must be demonstrated through support diagnostics, placebo tests, alternative donor pools and sensitivity analyses.</w:t>
      </w:r>
    </w:p>
    <w:p>
      <w:pPr>
        <w:pStyle w:val="Heading2"/>
      </w:pPr>
      <w:r>
        <w:t>4.11 Spatial Statistics</w:t>
      </w:r>
    </w:p>
    <w:p>
      <w:pPr/>
      <w:r>
        <w:t>Spatial analysis will include annual trend mapping, distance-band summaries, hotspot/cluster diagnostics where appropriate, and conservation-priority overlays. Spatial inference will use projected CRS and will keep observed, predicted and causally estimated layers distinct.</w:t>
      </w:r>
    </w:p>
    <w:p>
      <w:pPr>
        <w:pStyle w:val="Heading2"/>
      </w:pPr>
      <w:r>
        <w:t>4.12 Validation</w:t>
      </w:r>
    </w:p>
    <w:p>
      <w:pPr/>
      <w:r>
        <w:t>Validation will include Hansen/JRC comparison, classification-product checks, pilot file integrity, annual camp-boundary validation, donor-fit diagnostics, placebo/sensitivity tests and plausibility comparison with field and GEDI evidence where appropriate.</w:t>
      </w:r>
    </w:p>
    <w:p>
      <w:pPr>
        <w:pStyle w:val="Heading3"/>
      </w:pPr>
      <w:r>
        <w:t>4.12.1 Official Camp-Boundary Geometry and Cross-Hierarchy Validation</w:t>
      </w:r>
    </w:p>
    <w:p>
      <w:pPr/>
      <w:r>
        <w:t>Geometry validity was evaluated using the strict QGIS validity method with ring self-intersections not ignored.</w:t>
      </w:r>
    </w:p>
    <w:p>
      <w:pPr/>
      <w:r>
        <w:t>The initial 2018 site-level dissolve produced 38 features, of which 36 were valid and two were invalid. The invalidity was caused by two consecutive duplicate nodes generated within polygon rings during the dissolve operation. Standard Structure, Linework, duplicate-vertex and zero-distance-buffer repairs did not resolve the error. A targeted PyQGIS ring-level cleaning procedure removed two duplicate nodes while preserving the 38 site geometries. The final 2018 layer contained 38 valid features, zero invalid features and zero geometry errors.</w:t>
      </w:r>
    </w:p>
    <w:p>
      <w:pPr/>
      <w:r>
        <w:t>The 2023 A1 layer contained 33 camp polygons in EPSG:32646. Its processed camp-level geometry was retained as the verified 2023 official reference.</w:t>
      </w:r>
    </w:p>
    <w:p>
      <w:pPr/>
      <w:r>
        <w:t>The A2-derived 2024 layer contained 33 camp polygons. Final validity testing returned 33 valid features, zero invalid features and zero geometry errors. The A3-derived validation layer contained 32 camp polygons and returned 32 valid features, zero invalid features and zero geometry errors.</w:t>
      </w:r>
    </w:p>
    <w:p>
      <w:pPr/>
      <w:r>
        <w:t>A hierarchy comparison showed that CXB-089, identified as Nayapara RC, was present in the A2 block layer through seven blocks but absent from the A3 sub-block layer. The A3 layer also contained no record for A2 block CXB-221_G181, identified as KRC_G within Kutupalong RC.</w:t>
      </w:r>
    </w:p>
    <w:p>
      <w:pPr/>
      <w:r>
        <w:t>A symmetrical-difference analysis of the 32 camps common to A2 and A3 produced a total difference of 35.88294 ha. One A2-only polygon corresponding to CXB-221_G181 / KRC_G accounted for 35.88200 ha. The remaining 52 difference polygons totalled approximately 0.000935 ha, or 9.35 m², and were interpreted as negligible geometric slivers.</w:t>
      </w:r>
    </w:p>
    <w:p>
      <w:pPr/>
      <w:r>
        <w:t>On this basis, the A2-derived 33-camp layer was selected as the primary 2024 administrative camp extent. The A3-derived 32-camp layer was retained as a supplementary validation layer.</w:t>
      </w:r>
    </w:p>
    <w:p>
      <w:pPr>
        <w:pStyle w:val="Heading3"/>
      </w:pPr>
      <w:r>
        <w:t>4.12.2 Crosswalk Completeness and Match-Confidence Validation</w:t>
      </w:r>
    </w:p>
    <w:p>
      <w:pPr/>
      <w:r>
        <w:t>Purpose — This validation assessed completeness, dominant-match uniqueness and confidence of the historical identifier crosswalk.</w:t>
      </w:r>
    </w:p>
    <w:p>
      <w:pPr/>
      <w:r>
        <w:t>Input Dataset(s) — The classified dominant-overlap table camp_crosswalk_2018_2023_primary_matches_classified and the Shamlapur nearest-neighbour result were used.</w:t>
      </w:r>
    </w:p>
    <w:p>
      <w:pPr/>
      <w:r>
        <w:t>Method / Tool — QGIS intersection-area aggregation, dominant-overlap selection, confidence classification and nearest-neighbour inspection were used. Confidence thresholds were High ≥95%, Moderate ≥80% and &lt;95%, and Low &lt;80%.</w:t>
      </w:r>
    </w:p>
    <w:p>
      <w:pPr/>
      <w:r>
        <w:t>Output Dataset — The verified 38-row master table is camp_crosswalk_2018_2023_final.csv, supported by the confidence-count, overlap-statistics and Shamlapur-nearest validation evidence.</w:t>
      </w:r>
    </w:p>
    <w:p>
      <w:pPr/>
      <w:r>
        <w:t>Results / QA Metrics — Of the 38 verified 2018 sites, 37 intersected at least one 2023 camp polygon. Each of these 37 sites had a unique dominant-overlap match, with no maximum-overlap ties. The mean primary overlap was 97.70%, the median was 99.17%, and the observed range was 80.19–100%. Thirty-three matches were High confidence and four were Moderate confidence. No Low-confidence match was identified.</w:t>
      </w:r>
    </w:p>
    <w:p>
      <w:pPr/>
      <w:r>
        <w:t>Interpretation — Shamlapur was the only 2018 site with no intersection with the 2023 A1 camp layer. Its nearest 2023 polygon was CXB-085, Camp 22, located approximately 4,462.79 metres away. Because this distance was substantial and no direct spatial overlap existed, Shamlapur was retained as unmatched_no_overlap rather than being force-matched. The crosswalk therefore contains 38 historical sites: 37 primary spatial matches and one explicitly unmatched historical site. The validated crosswalk will be used throughout all subsequent annual exposure reconstruction, spatial overlay and causal analyses to ensure temporal consistency of camp identifiers.</w:t>
      </w:r>
    </w:p>
    <w:p>
      <w:pPr>
        <w:pStyle w:val="Heading3"/>
      </w:pPr>
      <w:r>
        <w:t>4.12.3 2016 Baseline Composite QA</w:t>
      </w:r>
    </w:p>
    <w:p>
      <w:pPr/>
      <w:r>
        <w:t>Purpose — This validation assessed geometry integrity of the reconstruction processing AOI and raster integrity of the exported 2016 pre-influx Landsat baseline composite.</w:t>
      </w:r>
    </w:p>
    <w:p>
      <w:pPr/>
      <w:r>
        <w:t>The exported GeoTIFF loaded successfully in QGIS and contained 11 Float32 bands. The raster used EPSG:32646, a 30 × 30 m pixel size, dimensions of 610 columns × 1,259 rows, GeoTIFF format and LZW compression.</w:t>
      </w:r>
    </w:p>
    <w:p>
      <w:pPr/>
      <w:r>
        <w:t>Valid-observation counts ranged from 13 to 31 observations per pixel in Earth Engine, with a mean of approximately 26.02. QGIS approximate statistics returned a minimum of 14, mean of 26.01 and maximum of 31; the one-observation difference in the minimum was attributed to approximate raster-statistics sampling.</w:t>
      </w:r>
    </w:p>
    <w:p>
      <w:pPr/>
      <w:r>
        <w:t>The reported QGIS valid-pixel percentage of approximately 27.33% reflected the rectangular raster extent surrounding a spatially disjoint multipart AOI. It did not represent cloud-free coverage within the AOI. AOI-based valid-pixel coverage calculated in Earth Engine was approximately 99.738%.</w:t>
      </w:r>
    </w:p>
    <w:p>
      <w:pPr/>
      <w:r>
        <w:t>Table. 2016 baseline composite and reconstruction-AOI QA summary.</w:t>
      </w:r>
    </w:p>
    <w:tbl>
      <w:tblPr>
        <w:tblStyle w:val="TableGrid"/>
        <w:tblW w:type="auto" w:w="0"/>
        <w:tblLook w:firstColumn="1" w:firstRow="1" w:lastColumn="0" w:lastRow="0" w:noHBand="0" w:noVBand="1" w:val="04A0"/>
      </w:tblPr>
      <w:tblGrid>
        <w:gridCol w:w="4320"/>
        <w:gridCol w:w="4320"/>
      </w:tblGrid>
      <w:tr>
        <w:tc>
          <w:tcPr>
            <w:tcW w:type="dxa" w:w="4320"/>
          </w:tcPr>
          <w:p>
            <w:r>
              <w:rPr>
                <w:sz w:val="16"/>
              </w:rPr>
              <w:t>QA item</w:t>
            </w:r>
          </w:p>
        </w:tc>
        <w:tc>
          <w:tcPr>
            <w:tcW w:type="dxa" w:w="4320"/>
          </w:tcPr>
          <w:p>
            <w:r>
              <w:rPr>
                <w:sz w:val="16"/>
              </w:rPr>
              <w:t>Result</w:t>
            </w:r>
          </w:p>
        </w:tc>
      </w:tr>
      <w:tr>
        <w:tc>
          <w:tcPr>
            <w:tcW w:type="dxa" w:w="4320"/>
          </w:tcPr>
          <w:p>
            <w:r>
              <w:rPr>
                <w:sz w:val="16"/>
              </w:rPr>
              <w:t>AOI features</w:t>
            </w:r>
          </w:p>
        </w:tc>
        <w:tc>
          <w:tcPr>
            <w:tcW w:type="dxa" w:w="4320"/>
          </w:tcPr>
          <w:p>
            <w:r>
              <w:rPr>
                <w:sz w:val="16"/>
              </w:rPr>
              <w:t>1 multipart</w:t>
            </w:r>
          </w:p>
        </w:tc>
      </w:tr>
      <w:tr>
        <w:tc>
          <w:tcPr>
            <w:tcW w:type="dxa" w:w="4320"/>
          </w:tcPr>
          <w:p>
            <w:r>
              <w:rPr>
                <w:sz w:val="16"/>
              </w:rPr>
              <w:t>AOI area</w:t>
            </w:r>
          </w:p>
        </w:tc>
        <w:tc>
          <w:tcPr>
            <w:tcW w:type="dxa" w:w="4320"/>
          </w:tcPr>
          <w:p>
            <w:r>
              <w:rPr>
                <w:sz w:val="16"/>
              </w:rPr>
              <w:t>189.372 km²</w:t>
            </w:r>
          </w:p>
        </w:tc>
      </w:tr>
      <w:tr>
        <w:tc>
          <w:tcPr>
            <w:tcW w:type="dxa" w:w="4320"/>
          </w:tcPr>
          <w:p>
            <w:r>
              <w:rPr>
                <w:sz w:val="16"/>
              </w:rPr>
              <w:t>AOI valid / invalid / errors</w:t>
            </w:r>
          </w:p>
        </w:tc>
        <w:tc>
          <w:tcPr>
            <w:tcW w:type="dxa" w:w="4320"/>
          </w:tcPr>
          <w:p>
            <w:r>
              <w:rPr>
                <w:sz w:val="16"/>
              </w:rPr>
              <w:t>1 / 0 / 0</w:t>
            </w:r>
          </w:p>
        </w:tc>
      </w:tr>
      <w:tr>
        <w:tc>
          <w:tcPr>
            <w:tcW w:type="dxa" w:w="4320"/>
          </w:tcPr>
          <w:p>
            <w:r>
              <w:rPr>
                <w:sz w:val="16"/>
              </w:rPr>
              <w:t>Input Landsat scenes</w:t>
            </w:r>
          </w:p>
        </w:tc>
        <w:tc>
          <w:tcPr>
            <w:tcW w:type="dxa" w:w="4320"/>
          </w:tcPr>
          <w:p>
            <w:r>
              <w:rPr>
                <w:sz w:val="16"/>
              </w:rPr>
              <w:t>42</w:t>
            </w:r>
          </w:p>
        </w:tc>
      </w:tr>
      <w:tr>
        <w:tc>
          <w:tcPr>
            <w:tcW w:type="dxa" w:w="4320"/>
          </w:tcPr>
          <w:p>
            <w:r>
              <w:rPr>
                <w:sz w:val="16"/>
              </w:rPr>
              <w:t>Raster CRS</w:t>
            </w:r>
          </w:p>
        </w:tc>
        <w:tc>
          <w:tcPr>
            <w:tcW w:type="dxa" w:w="4320"/>
          </w:tcPr>
          <w:p>
            <w:r>
              <w:rPr>
                <w:sz w:val="16"/>
              </w:rPr>
              <w:t>EPSG:32646</w:t>
            </w:r>
          </w:p>
        </w:tc>
      </w:tr>
      <w:tr>
        <w:tc>
          <w:tcPr>
            <w:tcW w:type="dxa" w:w="4320"/>
          </w:tcPr>
          <w:p>
            <w:r>
              <w:rPr>
                <w:sz w:val="16"/>
              </w:rPr>
              <w:t>Pixel size</w:t>
            </w:r>
          </w:p>
        </w:tc>
        <w:tc>
          <w:tcPr>
            <w:tcW w:type="dxa" w:w="4320"/>
          </w:tcPr>
          <w:p>
            <w:r>
              <w:rPr>
                <w:sz w:val="16"/>
              </w:rPr>
              <w:t>30 × 30 m</w:t>
            </w:r>
          </w:p>
        </w:tc>
      </w:tr>
      <w:tr>
        <w:tc>
          <w:tcPr>
            <w:tcW w:type="dxa" w:w="4320"/>
          </w:tcPr>
          <w:p>
            <w:r>
              <w:rPr>
                <w:sz w:val="16"/>
              </w:rPr>
              <w:t>Raster dimensions</w:t>
            </w:r>
          </w:p>
        </w:tc>
        <w:tc>
          <w:tcPr>
            <w:tcW w:type="dxa" w:w="4320"/>
          </w:tcPr>
          <w:p>
            <w:r>
              <w:rPr>
                <w:sz w:val="16"/>
              </w:rPr>
              <w:t>610 × 1,259</w:t>
            </w:r>
          </w:p>
        </w:tc>
      </w:tr>
      <w:tr>
        <w:tc>
          <w:tcPr>
            <w:tcW w:type="dxa" w:w="4320"/>
          </w:tcPr>
          <w:p>
            <w:r>
              <w:rPr>
                <w:sz w:val="16"/>
              </w:rPr>
              <w:t>Band count</w:t>
            </w:r>
          </w:p>
        </w:tc>
        <w:tc>
          <w:tcPr>
            <w:tcW w:type="dxa" w:w="4320"/>
          </w:tcPr>
          <w:p>
            <w:r>
              <w:rPr>
                <w:sz w:val="16"/>
              </w:rPr>
              <w:t>11</w:t>
            </w:r>
          </w:p>
        </w:tc>
      </w:tr>
      <w:tr>
        <w:tc>
          <w:tcPr>
            <w:tcW w:type="dxa" w:w="4320"/>
          </w:tcPr>
          <w:p>
            <w:r>
              <w:rPr>
                <w:sz w:val="16"/>
              </w:rPr>
              <w:t>Data type</w:t>
            </w:r>
          </w:p>
        </w:tc>
        <w:tc>
          <w:tcPr>
            <w:tcW w:type="dxa" w:w="4320"/>
          </w:tcPr>
          <w:p>
            <w:r>
              <w:rPr>
                <w:sz w:val="16"/>
              </w:rPr>
              <w:t>Float32</w:t>
            </w:r>
          </w:p>
        </w:tc>
      </w:tr>
      <w:tr>
        <w:tc>
          <w:tcPr>
            <w:tcW w:type="dxa" w:w="4320"/>
          </w:tcPr>
          <w:p>
            <w:r>
              <w:rPr>
                <w:sz w:val="16"/>
              </w:rPr>
              <w:t>Valid observations</w:t>
            </w:r>
          </w:p>
        </w:tc>
        <w:tc>
          <w:tcPr>
            <w:tcW w:type="dxa" w:w="4320"/>
          </w:tcPr>
          <w:p>
            <w:r>
              <w:rPr>
                <w:sz w:val="16"/>
              </w:rPr>
              <w:t>13–31</w:t>
            </w:r>
          </w:p>
        </w:tc>
      </w:tr>
      <w:tr>
        <w:tc>
          <w:tcPr>
            <w:tcW w:type="dxa" w:w="4320"/>
          </w:tcPr>
          <w:p>
            <w:r>
              <w:rPr>
                <w:sz w:val="16"/>
              </w:rPr>
              <w:t>Mean valid observations</w:t>
            </w:r>
          </w:p>
        </w:tc>
        <w:tc>
          <w:tcPr>
            <w:tcW w:type="dxa" w:w="4320"/>
          </w:tcPr>
          <w:p>
            <w:r>
              <w:rPr>
                <w:sz w:val="16"/>
              </w:rPr>
              <w:t>26.02</w:t>
            </w:r>
          </w:p>
        </w:tc>
      </w:tr>
      <w:tr>
        <w:tc>
          <w:tcPr>
            <w:tcW w:type="dxa" w:w="4320"/>
          </w:tcPr>
          <w:p>
            <w:r>
              <w:rPr>
                <w:sz w:val="16"/>
              </w:rPr>
              <w:t>AOI valid-pixel coverage</w:t>
            </w:r>
          </w:p>
        </w:tc>
        <w:tc>
          <w:tcPr>
            <w:tcW w:type="dxa" w:w="4320"/>
          </w:tcPr>
          <w:p>
            <w:r>
              <w:rPr>
                <w:sz w:val="16"/>
              </w:rPr>
              <w:t>99.738%</w:t>
            </w:r>
          </w:p>
        </w:tc>
      </w:tr>
    </w:tbl>
    <w:p>
      <w:r/>
    </w:p>
    <w:p>
      <w:pPr/>
      <w:r>
        <w:t>Interpretation — AOI geometry and the 2016 baseline composite passed initial integrity and metadata checks. Settlement classification, physical-footprint delineation and accuracy assessment remain pending; therefore, no 2016 camp-area or expansion result is reported.</w:t>
      </w:r>
    </w:p>
    <w:p>
      <w:pPr>
        <w:pStyle w:val="Heading2"/>
      </w:pPr>
      <w:r>
        <w:t>4.13 Uncertainty Analysis</w:t>
      </w:r>
    </w:p>
    <w:p>
      <w:pPr/>
      <w:r>
        <w:t>Uncertainty will be documented separately for forest measurement, biomass density, carbon conversion and causal estimation. A joint uncertainty protocol is conditional and will be implemented only after compatible outcome, biomass and estimator outputs are available.</w:t>
      </w:r>
    </w:p>
    <w:p>
      <w:pPr>
        <w:pStyle w:val="Heading1"/>
      </w:pPr>
      <w:r>
        <w:t>5. Preliminary Data Feasibility and Research Progress</w:t>
      </w:r>
    </w:p>
    <w:p>
      <w:pPr>
        <w:pStyle w:val="Heading2"/>
      </w:pPr>
      <w:r>
        <w:t>5.1 Forest-Data Access Test</w:t>
      </w:r>
    </w:p>
    <w:p>
      <w:pPr/>
      <w:r>
        <w:t>Hansen GFC v1.12 pilot clips over the Kutupalong–Balukhali AOI opened successfully at 30 m in EPSG:4326. Benchmark loss-year codes were present for 2001, 2016, 2018 and 2024. The 2017 loss code had the highest descriptive pilot-AOI loss count; this is a descriptive signal and is not an attribution claim.</w:t>
      </w:r>
    </w:p>
    <w:p>
      <w:pPr>
        <w:pStyle w:val="Heading2"/>
      </w:pPr>
      <w:r>
        <w:t>5.2 Biomass-Data Access Test</w:t>
      </w:r>
    </w:p>
    <w:p>
      <w:pPr/>
      <w:r>
        <w:t>ESA CCI Biomass v7 pilot AGB and AGB_SD clips opened successfully at 100 m. The pilot confirms wall-to-wall access and uncertainty availability, but it does not complete the annual carbon method or attributable carbon calculation.</w:t>
      </w:r>
    </w:p>
    <w:p>
      <w:pPr>
        <w:pStyle w:val="Heading2"/>
      </w:pPr>
      <w:r>
        <w:t>5.3 Camp-Exposure Data Availability</w:t>
      </w:r>
    </w:p>
    <w:p>
      <w:pPr/>
      <w:r>
        <w:t>Official camp-boundary collection and validation have been completed for the available 2018, 2023 and 2024 snapshots.</w:t>
      </w:r>
    </w:p>
    <w:p>
      <w:pPr/>
      <w:r>
        <w:t>The verified 2018 output was derived from 1,766 IOM NPM Majhee Block polygons and contains 38 valid site-level geometries. The verified 2023 ISCG A1 product contains 33 camp polygons. The primary verified 2024 output was derived from 182 ISCG A2 block polygons and contains 33 valid camp-level geometries.</w:t>
      </w:r>
    </w:p>
    <w:p>
      <w:pPr/>
      <w:r>
        <w:t>The 2024 A3 sub-block hierarchy contained 966 features but represented only 32 camps. It omitted Nayapara RC (CXB-089) and lacked sub-block coverage for the KRC_G block (CXB-221_G181) within Kutupalong RC. It was therefore retained as a supplementary validation layer rather than the primary 2024 camp extent.</w:t>
      </w:r>
    </w:p>
    <w:p>
      <w:pPr/>
      <w:r>
        <w:t>Camp-wise joining between the 2023 A1 and 2024 A2-derived products successfully matched all 33 CampSSID values, with zero unmatched camps. The signed net area difference was approximately 0.000027 ha. The summed absolute camp-wise area difference was only 0.057033 ha across all 33 camps, with a maximum individual difference of 0.015016 ha. These numerical results indicate very close administrative area agreement; however, area agreement alone is not treated as proof of exact geometric equivalence or physical settlement stability.</w:t>
      </w:r>
    </w:p>
    <w:p>
      <w:pPr/>
      <w:r>
        <w:t>Pre-influx 2016, emergency-expansion 2017 and other missing annual footprints still require satellite-based reconstruction.</w:t>
      </w:r>
    </w:p>
    <w:p>
      <w:pPr/>
      <w:r>
        <w:t>A spatial identifier crosswalk was completed between the 2018 and 2023 official boundary products. Thirty-seven of the 38 historical sites were assigned to a unique dominant-overlap 2023 camp, while Shamlapur was retained as unmatched. Of the 37 matched sites, 33 were High-confidence matches and four were Moderate-confidence matches. The final crosswalk is retained in camp_crosswalk_2018_2023_final.csv.</w:t>
      </w:r>
    </w:p>
    <w:p>
      <w:pPr>
        <w:pStyle w:val="Heading2"/>
      </w:pPr>
      <w:r>
        <w:t>5.4 Preliminary Donor-Pool Feasibility</w:t>
      </w:r>
    </w:p>
    <w:p>
      <w:pPr/>
      <w:r>
        <w:t>A provisional 1 km pilot identified 2,118 preliminary eligible donor cells compared with 157 treated-forest cells after initial filters. This count indicates numerical donor sufficiency only. Whether SDID can achieve acceptable weighted pre-treatment fit remains untested pending projected-grid construction, administrative masking, covariates, weighting, placebo and sensitivity diagnostics.</w:t>
      </w:r>
    </w:p>
    <w:p>
      <w:pPr>
        <w:pStyle w:val="Heading2"/>
      </w:pPr>
      <w:r>
        <w:t>5.5 Intervention-Timeline Verification</w:t>
      </w:r>
    </w:p>
    <w:p>
      <w:pPr/>
      <w:r>
        <w:t>The initial intervention register verifies LPG/clean-cooking distribution (High confidence), camp fencing (Medium confidence) and restoration/slope stabilisation (High confidence). These are mechanism-evidence records; the report does not claim that any intervention independently caused forest recovery.</w:t>
      </w:r>
    </w:p>
    <w:p>
      <w:pPr>
        <w:pStyle w:val="Heading2"/>
      </w:pPr>
      <w:r>
        <w:t>5.6 Current Data Limitations</w:t>
      </w:r>
    </w:p>
    <w:p>
      <w:pPr/>
      <w:r>
        <w:t>Key remaining limitations are the absence of official annual camp footprints for 2016–2017 and several intermediate years, differences in administrative hierarchy between Majhee Block, A1, A2 and A3 products, pending population-table harmonisation, uncollected donor covariates, unfinalised analytical grids, incomplete ESA CCI annual coverage for carbon accounting, pending conservation layers and unresolved final SDID pre-treatment fit.</w:t>
      </w:r>
    </w:p>
    <w:p>
      <w:pPr/>
      <w:r>
        <w:t>The verified official snapshots represent administrative boundary products rather than direct annual measurements of physical built-up camp footprints. Consequently, they will be used for temporal anchoring and validation, while missing-year exposure will be reconstructed using satellite evidence.</w:t>
      </w:r>
    </w:p>
    <w:p>
      <w:pPr>
        <w:pStyle w:val="Heading2"/>
      </w:pPr>
      <w:r>
        <w:t>5.7 Empirical Work Remaining</w:t>
      </w:r>
    </w:p>
    <w:p>
      <w:pPr/>
      <w:r>
        <w:t>The 2018–2023 historical identifier crosswalk has been completed and validated, and Step 3.3 annual exposure reconstruction has been initiated. Remaining work includes settlement classification and physical-footprint delineation for 2016, reconstruction of other missing annual camp footprints (2017 and unavailable years), annual exposure reconstruction completion, Hansen outcome extraction, fragmentation analysis, SDID implementation, biomass/carbon estimation, machine-learning modelling and conservation-priority mapping.</w:t>
      </w:r>
    </w:p>
    <w:p>
      <w:pPr>
        <w:pStyle w:val="Heading2"/>
      </w:pPr>
      <w:r>
        <w:t>5.8 Annual Exposure Reconstruction Progress</w:t>
      </w:r>
    </w:p>
    <w:p>
      <w:pPr/>
      <w:r>
        <w:t>Step 3.3 was initiated through construction of a 189.372 km² satellite-processing AOI and preparation of a cloud-masked 2016 pre-influx Landsat baseline composite. The selected November 2015–April 2016 window contained 42 scenes and achieved approximately 99.738% valid-pixel coverage within the AOI. The exported 11-band, 30 m composite passed initial raster-integrity and metadata checks. Settlement classification and physical-footprint delineation remain pending; therefore, no 2016 camp-area or expansion result is reported at this stage.</w:t>
      </w:r>
    </w:p>
    <w:p>
      <w:pPr>
        <w:pStyle w:val="Heading1"/>
      </w:pPr>
      <w:r>
        <w:t>6. Results</w:t>
      </w:r>
    </w:p>
    <w:p>
      <w:r>
        <w:t>[No empirical camp-footprint, forest-loss, fragmentation or carbon results are reported at this stage. Section 4 documents methods and QA only; Section 5 documents research progress.]</w:t>
      </w:r>
    </w:p>
    <w:p>
      <w:pPr>
        <w:pStyle w:val="Heading1"/>
      </w:pPr>
      <w:r>
        <w:t>7. Discussion</w:t>
      </w:r>
    </w:p>
    <w:p>
      <w:r>
        <w:t>[To be completed after analysis.]</w:t>
      </w:r>
    </w:p>
    <w:p>
      <w:pPr>
        <w:pStyle w:val="Heading1"/>
      </w:pPr>
      <w:r>
        <w:t>8. Final Policy and Conservation Implications</w:t>
      </w:r>
    </w:p>
    <w:p>
      <w:r>
        <w:t>[To be completed after analysis.]</w:t>
      </w:r>
    </w:p>
    <w:p>
      <w:pPr>
        <w:pStyle w:val="Heading1"/>
      </w:pPr>
      <w:r>
        <w:t>9. Limitations</w:t>
      </w:r>
    </w:p>
    <w:p>
      <w:r>
        <w:t>[To be completed after analysis.]</w:t>
      </w:r>
    </w:p>
    <w:p>
      <w:pPr>
        <w:pStyle w:val="Heading1"/>
      </w:pPr>
      <w:r>
        <w:t>10. Final Conclusion</w:t>
      </w:r>
    </w:p>
    <w:p>
      <w:r>
        <w:t>[To be completed after analysis.]</w:t>
      </w:r>
    </w:p>
    <w:p>
      <w:pPr>
        <w:pStyle w:val="Heading1"/>
      </w:pPr>
      <w:r>
        <w:t>References</w:t>
      </w:r>
    </w:p>
    <w:p>
      <w:r>
        <w:t>[To be completed after analysis.]</w:t>
      </w:r>
    </w:p>
    <w:p>
      <w:pPr>
        <w:pStyle w:val="Heading1"/>
      </w:pPr>
      <w:r>
        <w:t>Appendices</w:t>
      </w:r>
    </w:p>
    <w:p>
      <w:r>
        <w:t>[To be completed after analysis.]</w:t>
      </w:r>
    </w:p>
    <w:p>
      <w:pPr>
        <w:pStyle w:val="Heading1"/>
      </w:pPr>
      <w:r>
        <w:t>Appendix A. Objective-Research Question Alignment Check</w:t>
      </w:r>
    </w:p>
    <w:p>
      <w:r>
        <w:t>Internal design check (for research-design verification; not required for public report text):</w:t>
      </w:r>
    </w:p>
    <w:p>
      <w:r>
        <w:t>Objective 1 — Annual forest outcomes → RQ1</w:t>
      </w:r>
    </w:p>
    <w:p>
      <w:r>
        <w:t>Objective 2 — Annual fragmentation and connectivity → RQ2</w:t>
      </w:r>
    </w:p>
    <w:p>
      <w:r>
        <w:t>Objective 3 — SDID causal attribution → RQ3</w:t>
      </w:r>
    </w:p>
    <w:p>
      <w:r>
        <w:t>Objective 4 — Biomass, carbon and CO₂-equivalent loss → RQ4</w:t>
      </w:r>
    </w:p>
    <w:p>
      <w:r>
        <w:t>Objective 5 — Machine learning and SHAP prediction → RQ5</w:t>
      </w:r>
    </w:p>
    <w:p>
      <w:r>
        <w:t>Objective 6 — Conservation and restoration priority → RQ6</w:t>
      </w:r>
    </w:p>
    <w:p>
      <w:r>
        <w:t>Alignment check: Correct. Every objective has a corresponding research question, and no research question falls outside the stated objectives.</w:t>
      </w:r>
    </w:p>
    <w:p>
      <w:pPr>
        <w:pStyle w:val="Heading1"/>
      </w:pPr>
      <w:r>
        <w:t>Appendix B. Official Camp-Boundary Processing and Validation Register</w:t>
      </w:r>
    </w:p>
    <w:p>
      <w:r>
        <w:t>Table B1. Source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ID</w:t>
            </w:r>
          </w:p>
        </w:tc>
        <w:tc>
          <w:tcPr>
            <w:tcW w:type="dxa" w:w="1234"/>
          </w:tcPr>
          <w:p>
            <w:r>
              <w:rPr>
                <w:sz w:val="16"/>
              </w:rPr>
              <w:t>Year</w:t>
            </w:r>
          </w:p>
        </w:tc>
        <w:tc>
          <w:tcPr>
            <w:tcW w:type="dxa" w:w="1234"/>
          </w:tcPr>
          <w:p>
            <w:r>
              <w:rPr>
                <w:sz w:val="16"/>
              </w:rPr>
              <w:t>Agency/product</w:t>
            </w:r>
          </w:p>
        </w:tc>
        <w:tc>
          <w:tcPr>
            <w:tcW w:type="dxa" w:w="1234"/>
          </w:tcPr>
          <w:p>
            <w:r>
              <w:rPr>
                <w:sz w:val="16"/>
              </w:rPr>
              <w:t>Native layer</w:t>
            </w:r>
          </w:p>
        </w:tc>
        <w:tc>
          <w:tcPr>
            <w:tcW w:type="dxa" w:w="1234"/>
          </w:tcPr>
          <w:p>
            <w:r>
              <w:rPr>
                <w:sz w:val="16"/>
              </w:rPr>
              <w:t>Native CRS</w:t>
            </w:r>
          </w:p>
        </w:tc>
        <w:tc>
          <w:tcPr>
            <w:tcW w:type="dxa" w:w="1234"/>
          </w:tcPr>
          <w:p>
            <w:r>
              <w:rPr>
                <w:sz w:val="16"/>
              </w:rPr>
              <w:t>Features</w:t>
            </w:r>
          </w:p>
        </w:tc>
        <w:tc>
          <w:tcPr>
            <w:tcW w:type="dxa" w:w="1234"/>
          </w:tcPr>
          <w:p>
            <w:r>
              <w:rPr>
                <w:sz w:val="16"/>
              </w:rPr>
              <w:t>Analytical role</w:t>
            </w:r>
          </w:p>
        </w:tc>
      </w:tr>
      <w:tr>
        <w:tc>
          <w:tcPr>
            <w:tcW w:type="dxa" w:w="1234"/>
          </w:tcPr>
          <w:p>
            <w:r>
              <w:rPr>
                <w:sz w:val="16"/>
              </w:rPr>
              <w:t>OB01</w:t>
            </w:r>
          </w:p>
        </w:tc>
        <w:tc>
          <w:tcPr>
            <w:tcW w:type="dxa" w:w="1234"/>
          </w:tcPr>
          <w:p>
            <w:r>
              <w:rPr>
                <w:sz w:val="16"/>
              </w:rPr>
              <w:t>2018</w:t>
            </w:r>
          </w:p>
        </w:tc>
        <w:tc>
          <w:tcPr>
            <w:tcW w:type="dxa" w:w="1234"/>
          </w:tcPr>
          <w:p>
            <w:r>
              <w:rPr>
                <w:sz w:val="16"/>
              </w:rPr>
              <w:t>IOM NPM</w:t>
            </w:r>
          </w:p>
        </w:tc>
        <w:tc>
          <w:tcPr>
            <w:tcW w:type="dxa" w:w="1234"/>
          </w:tcPr>
          <w:p>
            <w:r>
              <w:rPr>
                <w:sz w:val="16"/>
              </w:rPr>
              <w:t>Majhee Blocks</w:t>
            </w:r>
          </w:p>
        </w:tc>
        <w:tc>
          <w:tcPr>
            <w:tcW w:type="dxa" w:w="1234"/>
          </w:tcPr>
          <w:p>
            <w:r>
              <w:rPr>
                <w:sz w:val="16"/>
              </w:rPr>
              <w:t>EPSG:32646</w:t>
            </w:r>
          </w:p>
        </w:tc>
        <w:tc>
          <w:tcPr>
            <w:tcW w:type="dxa" w:w="1234"/>
          </w:tcPr>
          <w:p>
            <w:r>
              <w:rPr>
                <w:sz w:val="16"/>
              </w:rPr>
              <w:t>1,766</w:t>
            </w:r>
          </w:p>
        </w:tc>
        <w:tc>
          <w:tcPr>
            <w:tcW w:type="dxa" w:w="1234"/>
          </w:tcPr>
          <w:p>
            <w:r>
              <w:rPr>
                <w:sz w:val="16"/>
              </w:rPr>
              <w:t>Derive 38 site-level extents</w:t>
            </w:r>
          </w:p>
        </w:tc>
      </w:tr>
      <w:tr>
        <w:tc>
          <w:tcPr>
            <w:tcW w:type="dxa" w:w="1234"/>
          </w:tcPr>
          <w:p>
            <w:r>
              <w:rPr>
                <w:sz w:val="16"/>
              </w:rPr>
              <w:t>OB02</w:t>
            </w:r>
          </w:p>
        </w:tc>
        <w:tc>
          <w:tcPr>
            <w:tcW w:type="dxa" w:w="1234"/>
          </w:tcPr>
          <w:p>
            <w:r>
              <w:rPr>
                <w:sz w:val="16"/>
              </w:rPr>
              <w:t>2023</w:t>
            </w:r>
          </w:p>
        </w:tc>
        <w:tc>
          <w:tcPr>
            <w:tcW w:type="dxa" w:w="1234"/>
          </w:tcPr>
          <w:p>
            <w:r>
              <w:rPr>
                <w:sz w:val="16"/>
              </w:rPr>
              <w:t>ISCG</w:t>
            </w:r>
          </w:p>
        </w:tc>
        <w:tc>
          <w:tcPr>
            <w:tcW w:type="dxa" w:w="1234"/>
          </w:tcPr>
          <w:p>
            <w:r>
              <w:rPr>
                <w:sz w:val="16"/>
              </w:rPr>
              <w:t>A1 Camp Outlines</w:t>
            </w:r>
          </w:p>
        </w:tc>
        <w:tc>
          <w:tcPr>
            <w:tcW w:type="dxa" w:w="1234"/>
          </w:tcPr>
          <w:p>
            <w:r>
              <w:rPr>
                <w:sz w:val="16"/>
              </w:rPr>
              <w:t>EPSG:32646</w:t>
            </w:r>
          </w:p>
        </w:tc>
        <w:tc>
          <w:tcPr>
            <w:tcW w:type="dxa" w:w="1234"/>
          </w:tcPr>
          <w:p>
            <w:r>
              <w:rPr>
                <w:sz w:val="16"/>
              </w:rPr>
              <w:t>33</w:t>
            </w:r>
          </w:p>
        </w:tc>
        <w:tc>
          <w:tcPr>
            <w:tcW w:type="dxa" w:w="1234"/>
          </w:tcPr>
          <w:p>
            <w:r>
              <w:rPr>
                <w:sz w:val="16"/>
              </w:rPr>
              <w:t>Official 2023 camp extent</w:t>
            </w:r>
          </w:p>
        </w:tc>
      </w:tr>
      <w:tr>
        <w:tc>
          <w:tcPr>
            <w:tcW w:type="dxa" w:w="1234"/>
          </w:tcPr>
          <w:p>
            <w:r>
              <w:rPr>
                <w:sz w:val="16"/>
              </w:rPr>
              <w:t>OB03-A2</w:t>
            </w:r>
          </w:p>
        </w:tc>
        <w:tc>
          <w:tcPr>
            <w:tcW w:type="dxa" w:w="1234"/>
          </w:tcPr>
          <w:p>
            <w:r>
              <w:rPr>
                <w:sz w:val="16"/>
              </w:rPr>
              <w:t>2024</w:t>
            </w:r>
          </w:p>
        </w:tc>
        <w:tc>
          <w:tcPr>
            <w:tcW w:type="dxa" w:w="1234"/>
          </w:tcPr>
          <w:p>
            <w:r>
              <w:rPr>
                <w:sz w:val="16"/>
              </w:rPr>
              <w:t>ISCG</w:t>
            </w:r>
          </w:p>
        </w:tc>
        <w:tc>
          <w:tcPr>
            <w:tcW w:type="dxa" w:w="1234"/>
          </w:tcPr>
          <w:p>
            <w:r>
              <w:rPr>
                <w:sz w:val="16"/>
              </w:rPr>
              <w:t>A2 Camp Block Outlines</w:t>
            </w:r>
          </w:p>
        </w:tc>
        <w:tc>
          <w:tcPr>
            <w:tcW w:type="dxa" w:w="1234"/>
          </w:tcPr>
          <w:p>
            <w:r>
              <w:rPr>
                <w:sz w:val="16"/>
              </w:rPr>
              <w:t>EPSG:4326</w:t>
            </w:r>
          </w:p>
        </w:tc>
        <w:tc>
          <w:tcPr>
            <w:tcW w:type="dxa" w:w="1234"/>
          </w:tcPr>
          <w:p>
            <w:r>
              <w:rPr>
                <w:sz w:val="16"/>
              </w:rPr>
              <w:t>182</w:t>
            </w:r>
          </w:p>
        </w:tc>
        <w:tc>
          <w:tcPr>
            <w:tcW w:type="dxa" w:w="1234"/>
          </w:tcPr>
          <w:p>
            <w:r>
              <w:rPr>
                <w:sz w:val="16"/>
              </w:rPr>
              <w:t>Primary 2024 camp extent</w:t>
            </w:r>
          </w:p>
        </w:tc>
      </w:tr>
      <w:tr>
        <w:tc>
          <w:tcPr>
            <w:tcW w:type="dxa" w:w="1234"/>
          </w:tcPr>
          <w:p>
            <w:r>
              <w:rPr>
                <w:sz w:val="16"/>
              </w:rPr>
              <w:t>OB03-A3</w:t>
            </w:r>
          </w:p>
        </w:tc>
        <w:tc>
          <w:tcPr>
            <w:tcW w:type="dxa" w:w="1234"/>
          </w:tcPr>
          <w:p>
            <w:r>
              <w:rPr>
                <w:sz w:val="16"/>
              </w:rPr>
              <w:t>2024</w:t>
            </w:r>
          </w:p>
        </w:tc>
        <w:tc>
          <w:tcPr>
            <w:tcW w:type="dxa" w:w="1234"/>
          </w:tcPr>
          <w:p>
            <w:r>
              <w:rPr>
                <w:sz w:val="16"/>
              </w:rPr>
              <w:t>ISCG</w:t>
            </w:r>
          </w:p>
        </w:tc>
        <w:tc>
          <w:tcPr>
            <w:tcW w:type="dxa" w:w="1234"/>
          </w:tcPr>
          <w:p>
            <w:r>
              <w:rPr>
                <w:sz w:val="16"/>
              </w:rPr>
              <w:t>A3 Camp Sub-Block Outlines</w:t>
            </w:r>
          </w:p>
        </w:tc>
        <w:tc>
          <w:tcPr>
            <w:tcW w:type="dxa" w:w="1234"/>
          </w:tcPr>
          <w:p>
            <w:r>
              <w:rPr>
                <w:sz w:val="16"/>
              </w:rPr>
              <w:t>EPSG:4326</w:t>
            </w:r>
          </w:p>
        </w:tc>
        <w:tc>
          <w:tcPr>
            <w:tcW w:type="dxa" w:w="1234"/>
          </w:tcPr>
          <w:p>
            <w:r>
              <w:rPr>
                <w:sz w:val="16"/>
              </w:rPr>
              <w:t>966</w:t>
            </w:r>
          </w:p>
        </w:tc>
        <w:tc>
          <w:tcPr>
            <w:tcW w:type="dxa" w:w="1234"/>
          </w:tcPr>
          <w:p>
            <w:r>
              <w:rPr>
                <w:sz w:val="16"/>
              </w:rPr>
              <w:t>Supplementary validation</w:t>
            </w:r>
          </w:p>
        </w:tc>
      </w:tr>
    </w:tbl>
    <w:p>
      <w:r>
        <w:t>Table B2. Derived layers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Derived layer</w:t>
            </w:r>
          </w:p>
        </w:tc>
        <w:tc>
          <w:tcPr>
            <w:tcW w:type="dxa" w:w="1234"/>
          </w:tcPr>
          <w:p>
            <w:r>
              <w:rPr>
                <w:sz w:val="16"/>
              </w:rPr>
              <w:t>Operation</w:t>
            </w:r>
          </w:p>
        </w:tc>
        <w:tc>
          <w:tcPr>
            <w:tcW w:type="dxa" w:w="1234"/>
          </w:tcPr>
          <w:p>
            <w:r>
              <w:rPr>
                <w:sz w:val="16"/>
              </w:rPr>
              <w:t>Features</w:t>
            </w:r>
          </w:p>
        </w:tc>
        <w:tc>
          <w:tcPr>
            <w:tcW w:type="dxa" w:w="1234"/>
          </w:tcPr>
          <w:p>
            <w:r>
              <w:rPr>
                <w:sz w:val="16"/>
              </w:rPr>
              <w:t>CRS</w:t>
            </w:r>
          </w:p>
        </w:tc>
        <w:tc>
          <w:tcPr>
            <w:tcW w:type="dxa" w:w="1234"/>
          </w:tcPr>
          <w:p>
            <w:r>
              <w:rPr>
                <w:sz w:val="16"/>
              </w:rPr>
              <w:t>Valid</w:t>
            </w:r>
          </w:p>
        </w:tc>
        <w:tc>
          <w:tcPr>
            <w:tcW w:type="dxa" w:w="1234"/>
          </w:tcPr>
          <w:p>
            <w:r>
              <w:rPr>
                <w:sz w:val="16"/>
              </w:rPr>
              <w:t>Invalid</w:t>
            </w:r>
          </w:p>
        </w:tc>
        <w:tc>
          <w:tcPr>
            <w:tcW w:type="dxa" w:w="1234"/>
          </w:tcPr>
          <w:p>
            <w:r>
              <w:rPr>
                <w:sz w:val="16"/>
              </w:rPr>
              <w:t>Role</w:t>
            </w:r>
          </w:p>
        </w:tc>
      </w:tr>
      <w:tr>
        <w:tc>
          <w:tcPr>
            <w:tcW w:type="dxa" w:w="1234"/>
          </w:tcPr>
          <w:p>
            <w:r>
              <w:rPr>
                <w:sz w:val="16"/>
              </w:rPr>
              <w:t>camp_admin_extent_2018_ringclean_v2.gpkg</w:t>
            </w:r>
          </w:p>
        </w:tc>
        <w:tc>
          <w:tcPr>
            <w:tcW w:type="dxa" w:w="1234"/>
          </w:tcPr>
          <w:p>
            <w:r>
              <w:rPr>
                <w:sz w:val="16"/>
              </w:rPr>
              <w:t>Fix geometry; dissolve Site; ring-clean</w:t>
            </w:r>
          </w:p>
        </w:tc>
        <w:tc>
          <w:tcPr>
            <w:tcW w:type="dxa" w:w="1234"/>
          </w:tcPr>
          <w:p>
            <w:r>
              <w:rPr>
                <w:sz w:val="16"/>
              </w:rPr>
              <w:t>38</w:t>
            </w:r>
          </w:p>
        </w:tc>
        <w:tc>
          <w:tcPr>
            <w:tcW w:type="dxa" w:w="1234"/>
          </w:tcPr>
          <w:p>
            <w:r>
              <w:rPr>
                <w:sz w:val="16"/>
              </w:rPr>
              <w:t>EPSG:32646</w:t>
            </w:r>
          </w:p>
        </w:tc>
        <w:tc>
          <w:tcPr>
            <w:tcW w:type="dxa" w:w="1234"/>
          </w:tcPr>
          <w:p>
            <w:r>
              <w:rPr>
                <w:sz w:val="16"/>
              </w:rPr>
              <w:t>38</w:t>
            </w:r>
          </w:p>
        </w:tc>
        <w:tc>
          <w:tcPr>
            <w:tcW w:type="dxa" w:w="1234"/>
          </w:tcPr>
          <w:p>
            <w:r>
              <w:rPr>
                <w:sz w:val="16"/>
              </w:rPr>
              <w:t>0</w:t>
            </w:r>
          </w:p>
        </w:tc>
        <w:tc>
          <w:tcPr>
            <w:tcW w:type="dxa" w:w="1234"/>
          </w:tcPr>
          <w:p>
            <w:r>
              <w:rPr>
                <w:sz w:val="16"/>
              </w:rPr>
              <w:t>Final 2018 layer</w:t>
            </w:r>
          </w:p>
        </w:tc>
      </w:tr>
      <w:tr>
        <w:tc>
          <w:tcPr>
            <w:tcW w:type="dxa" w:w="1234"/>
          </w:tcPr>
          <w:p>
            <w:r>
              <w:rPr>
                <w:sz w:val="16"/>
              </w:rPr>
              <w:t>FINAL_2023_Camp_Admin_Extent_Area.gpkg</w:t>
            </w:r>
          </w:p>
        </w:tc>
        <w:tc>
          <w:tcPr>
            <w:tcW w:type="dxa" w:w="1234"/>
          </w:tcPr>
          <w:p>
            <w:r>
              <w:rPr>
                <w:sz w:val="16"/>
              </w:rPr>
              <w:t>A1 outlines + area field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Final 2023 layer</w:t>
            </w:r>
          </w:p>
        </w:tc>
      </w:tr>
      <w:tr>
        <w:tc>
          <w:tcPr>
            <w:tcW w:type="dxa" w:w="1234"/>
          </w:tcPr>
          <w:p>
            <w:r>
              <w:rPr>
                <w:sz w:val="16"/>
              </w:rPr>
              <w:t>camp_admin_extent_2024_from_A2.gpkg</w:t>
            </w:r>
          </w:p>
        </w:tc>
        <w:tc>
          <w:tcPr>
            <w:tcW w:type="dxa" w:w="1234"/>
          </w:tcPr>
          <w:p>
            <w:r>
              <w:rPr>
                <w:sz w:val="16"/>
              </w:rPr>
              <w:t>Reproject A2; dissolve CampSSID</w:t>
            </w:r>
          </w:p>
        </w:tc>
        <w:tc>
          <w:tcPr>
            <w:tcW w:type="dxa" w:w="1234"/>
          </w:tcPr>
          <w:p>
            <w:r>
              <w:rPr>
                <w:sz w:val="16"/>
              </w:rPr>
              <w:t>33</w:t>
            </w:r>
          </w:p>
        </w:tc>
        <w:tc>
          <w:tcPr>
            <w:tcW w:type="dxa" w:w="1234"/>
          </w:tcPr>
          <w:p>
            <w:r>
              <w:rPr>
                <w:sz w:val="16"/>
              </w:rPr>
              <w:t>EPSG:32646</w:t>
            </w:r>
          </w:p>
        </w:tc>
        <w:tc>
          <w:tcPr>
            <w:tcW w:type="dxa" w:w="1234"/>
          </w:tcPr>
          <w:p>
            <w:r>
              <w:rPr>
                <w:sz w:val="16"/>
              </w:rPr>
              <w:t>33</w:t>
            </w:r>
          </w:p>
        </w:tc>
        <w:tc>
          <w:tcPr>
            <w:tcW w:type="dxa" w:w="1234"/>
          </w:tcPr>
          <w:p>
            <w:r>
              <w:rPr>
                <w:sz w:val="16"/>
              </w:rPr>
              <w:t>0</w:t>
            </w:r>
          </w:p>
        </w:tc>
        <w:tc>
          <w:tcPr>
            <w:tcW w:type="dxa" w:w="1234"/>
          </w:tcPr>
          <w:p>
            <w:r>
              <w:rPr>
                <w:sz w:val="16"/>
              </w:rPr>
              <w:t>Primary 2024 layer</w:t>
            </w:r>
          </w:p>
        </w:tc>
      </w:tr>
      <w:tr>
        <w:tc>
          <w:tcPr>
            <w:tcW w:type="dxa" w:w="1234"/>
          </w:tcPr>
          <w:p>
            <w:r>
              <w:rPr>
                <w:sz w:val="16"/>
              </w:rPr>
              <w:t>camp_admin_extent_2024_from_A3.gpkg</w:t>
            </w:r>
          </w:p>
        </w:tc>
        <w:tc>
          <w:tcPr>
            <w:tcW w:type="dxa" w:w="1234"/>
          </w:tcPr>
          <w:p>
            <w:r>
              <w:rPr>
                <w:sz w:val="16"/>
              </w:rPr>
              <w:t>Reproject A3; dissolve CampSSID</w:t>
            </w:r>
          </w:p>
        </w:tc>
        <w:tc>
          <w:tcPr>
            <w:tcW w:type="dxa" w:w="1234"/>
          </w:tcPr>
          <w:p>
            <w:r>
              <w:rPr>
                <w:sz w:val="16"/>
              </w:rPr>
              <w:t>32</w:t>
            </w:r>
          </w:p>
        </w:tc>
        <w:tc>
          <w:tcPr>
            <w:tcW w:type="dxa" w:w="1234"/>
          </w:tcPr>
          <w:p>
            <w:r>
              <w:rPr>
                <w:sz w:val="16"/>
              </w:rPr>
              <w:t>EPSG:32646</w:t>
            </w:r>
          </w:p>
        </w:tc>
        <w:tc>
          <w:tcPr>
            <w:tcW w:type="dxa" w:w="1234"/>
          </w:tcPr>
          <w:p>
            <w:r>
              <w:rPr>
                <w:sz w:val="16"/>
              </w:rPr>
              <w:t>32</w:t>
            </w:r>
          </w:p>
        </w:tc>
        <w:tc>
          <w:tcPr>
            <w:tcW w:type="dxa" w:w="1234"/>
          </w:tcPr>
          <w:p>
            <w:r>
              <w:rPr>
                <w:sz w:val="16"/>
              </w:rPr>
              <w:t>0</w:t>
            </w:r>
          </w:p>
        </w:tc>
        <w:tc>
          <w:tcPr>
            <w:tcW w:type="dxa" w:w="1234"/>
          </w:tcPr>
          <w:p>
            <w:r>
              <w:rPr>
                <w:sz w:val="16"/>
              </w:rPr>
              <w:t>Validation layer</w:t>
            </w:r>
          </w:p>
        </w:tc>
      </w:tr>
    </w:tbl>
    <w:p>
      <w:r>
        <w:t>Table B3. Key QA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Check</w:t>
            </w:r>
          </w:p>
        </w:tc>
        <w:tc>
          <w:tcPr>
            <w:tcW w:type="dxa" w:w="2880"/>
          </w:tcPr>
          <w:p>
            <w:r>
              <w:rPr>
                <w:sz w:val="16"/>
              </w:rPr>
              <w:t>Result</w:t>
            </w:r>
          </w:p>
        </w:tc>
        <w:tc>
          <w:tcPr>
            <w:tcW w:type="dxa" w:w="2880"/>
          </w:tcPr>
          <w:p>
            <w:r>
              <w:rPr>
                <w:sz w:val="16"/>
              </w:rPr>
              <w:t>Interpretation</w:t>
            </w:r>
          </w:p>
        </w:tc>
      </w:tr>
      <w:tr>
        <w:tc>
          <w:tcPr>
            <w:tcW w:type="dxa" w:w="2880"/>
          </w:tcPr>
          <w:p>
            <w:r>
              <w:rPr>
                <w:sz w:val="16"/>
              </w:rPr>
              <w:t>2018 unique Site values</w:t>
            </w:r>
          </w:p>
        </w:tc>
        <w:tc>
          <w:tcPr>
            <w:tcW w:type="dxa" w:w="2880"/>
          </w:tcPr>
          <w:p>
            <w:r>
              <w:rPr>
                <w:sz w:val="16"/>
              </w:rPr>
              <w:t>38</w:t>
            </w:r>
          </w:p>
        </w:tc>
        <w:tc>
          <w:tcPr>
            <w:tcW w:type="dxa" w:w="2880"/>
          </w:tcPr>
          <w:p>
            <w:r>
              <w:rPr>
                <w:sz w:val="16"/>
              </w:rPr>
              <w:t>No null site identifier</w:t>
            </w:r>
          </w:p>
        </w:tc>
      </w:tr>
      <w:tr>
        <w:tc>
          <w:tcPr>
            <w:tcW w:type="dxa" w:w="2880"/>
          </w:tcPr>
          <w:p>
            <w:r>
              <w:rPr>
                <w:sz w:val="16"/>
              </w:rPr>
              <w:t>2018 geometry problem</w:t>
            </w:r>
          </w:p>
        </w:tc>
        <w:tc>
          <w:tcPr>
            <w:tcW w:type="dxa" w:w="2880"/>
          </w:tcPr>
          <w:p>
            <w:r>
              <w:rPr>
                <w:sz w:val="16"/>
              </w:rPr>
              <w:t>2 duplicate nodes</w:t>
            </w:r>
          </w:p>
        </w:tc>
        <w:tc>
          <w:tcPr>
            <w:tcW w:type="dxa" w:w="2880"/>
          </w:tcPr>
          <w:p>
            <w:r>
              <w:rPr>
                <w:sz w:val="16"/>
              </w:rPr>
              <w:t>Removed using targeted PyQGIS ring cleaning</w:t>
            </w:r>
          </w:p>
        </w:tc>
      </w:tr>
      <w:tr>
        <w:tc>
          <w:tcPr>
            <w:tcW w:type="dxa" w:w="2880"/>
          </w:tcPr>
          <w:p>
            <w:r>
              <w:rPr>
                <w:sz w:val="16"/>
              </w:rPr>
              <w:t>A2 unique CampSSID</w:t>
            </w:r>
          </w:p>
        </w:tc>
        <w:tc>
          <w:tcPr>
            <w:tcW w:type="dxa" w:w="2880"/>
          </w:tcPr>
          <w:p>
            <w:r>
              <w:rPr>
                <w:sz w:val="16"/>
              </w:rPr>
              <w:t>33</w:t>
            </w:r>
          </w:p>
        </w:tc>
        <w:tc>
          <w:tcPr>
            <w:tcW w:type="dxa" w:w="2880"/>
          </w:tcPr>
          <w:p>
            <w:r>
              <w:rPr>
                <w:sz w:val="16"/>
              </w:rPr>
              <w:t>Complete primary 2024 hierarchy</w:t>
            </w:r>
          </w:p>
        </w:tc>
      </w:tr>
      <w:tr>
        <w:tc>
          <w:tcPr>
            <w:tcW w:type="dxa" w:w="2880"/>
          </w:tcPr>
          <w:p>
            <w:r>
              <w:rPr>
                <w:sz w:val="16"/>
              </w:rPr>
              <w:t>A3 unique CampSSID</w:t>
            </w:r>
          </w:p>
        </w:tc>
        <w:tc>
          <w:tcPr>
            <w:tcW w:type="dxa" w:w="2880"/>
          </w:tcPr>
          <w:p>
            <w:r>
              <w:rPr>
                <w:sz w:val="16"/>
              </w:rPr>
              <w:t>32</w:t>
            </w:r>
          </w:p>
        </w:tc>
        <w:tc>
          <w:tcPr>
            <w:tcW w:type="dxa" w:w="2880"/>
          </w:tcPr>
          <w:p>
            <w:r>
              <w:rPr>
                <w:sz w:val="16"/>
              </w:rPr>
              <w:t>CXB-089 / Nayapara RC absent</w:t>
            </w:r>
          </w:p>
        </w:tc>
      </w:tr>
      <w:tr>
        <w:tc>
          <w:tcPr>
            <w:tcW w:type="dxa" w:w="2880"/>
          </w:tcPr>
          <w:p>
            <w:r>
              <w:rPr>
                <w:sz w:val="16"/>
              </w:rPr>
              <w:t>Missing A3 block coverage</w:t>
            </w:r>
          </w:p>
        </w:tc>
        <w:tc>
          <w:tcPr>
            <w:tcW w:type="dxa" w:w="2880"/>
          </w:tcPr>
          <w:p>
            <w:r>
              <w:rPr>
                <w:sz w:val="16"/>
              </w:rPr>
              <w:t>CXB-221_G181 / KRC_G</w:t>
            </w:r>
          </w:p>
        </w:tc>
        <w:tc>
          <w:tcPr>
            <w:tcW w:type="dxa" w:w="2880"/>
          </w:tcPr>
          <w:p>
            <w:r>
              <w:rPr>
                <w:sz w:val="16"/>
              </w:rPr>
              <w:t>35.882 ha A2-only coverage</w:t>
            </w:r>
          </w:p>
        </w:tc>
      </w:tr>
      <w:tr>
        <w:tc>
          <w:tcPr>
            <w:tcW w:type="dxa" w:w="2880"/>
          </w:tcPr>
          <w:p>
            <w:r>
              <w:rPr>
                <w:sz w:val="16"/>
              </w:rPr>
              <w:t>Remaining A2–A3 slivers</w:t>
            </w:r>
          </w:p>
        </w:tc>
        <w:tc>
          <w:tcPr>
            <w:tcW w:type="dxa" w:w="2880"/>
          </w:tcPr>
          <w:p>
            <w:r>
              <w:rPr>
                <w:sz w:val="16"/>
              </w:rPr>
              <w:t>9.35 m²</w:t>
            </w:r>
          </w:p>
        </w:tc>
        <w:tc>
          <w:tcPr>
            <w:tcW w:type="dxa" w:w="2880"/>
          </w:tcPr>
          <w:p>
            <w:r>
              <w:rPr>
                <w:sz w:val="16"/>
              </w:rPr>
              <w:t>Negligible geometric differences</w:t>
            </w:r>
          </w:p>
        </w:tc>
      </w:tr>
      <w:tr>
        <w:tc>
          <w:tcPr>
            <w:tcW w:type="dxa" w:w="2880"/>
          </w:tcPr>
          <w:p>
            <w:r>
              <w:rPr>
                <w:sz w:val="16"/>
              </w:rPr>
              <w:t>2023–2024 matched camps</w:t>
            </w:r>
          </w:p>
        </w:tc>
        <w:tc>
          <w:tcPr>
            <w:tcW w:type="dxa" w:w="2880"/>
          </w:tcPr>
          <w:p>
            <w:r>
              <w:rPr>
                <w:sz w:val="16"/>
              </w:rPr>
              <w:t>33</w:t>
            </w:r>
          </w:p>
        </w:tc>
        <w:tc>
          <w:tcPr>
            <w:tcW w:type="dxa" w:w="2880"/>
          </w:tcPr>
          <w:p>
            <w:r>
              <w:rPr>
                <w:sz w:val="16"/>
              </w:rPr>
              <w:t>Zero unmatched IDs</w:t>
            </w:r>
          </w:p>
        </w:tc>
      </w:tr>
      <w:tr>
        <w:tc>
          <w:tcPr>
            <w:tcW w:type="dxa" w:w="2880"/>
          </w:tcPr>
          <w:p>
            <w:r>
              <w:rPr>
                <w:sz w:val="16"/>
              </w:rPr>
              <w:t>2023–2024 total absolute area difference</w:t>
            </w:r>
          </w:p>
        </w:tc>
        <w:tc>
          <w:tcPr>
            <w:tcW w:type="dxa" w:w="2880"/>
          </w:tcPr>
          <w:p>
            <w:r>
              <w:rPr>
                <w:sz w:val="16"/>
              </w:rPr>
              <w:t>0.057033 ha</w:t>
            </w:r>
          </w:p>
        </w:tc>
        <w:tc>
          <w:tcPr>
            <w:tcW w:type="dxa" w:w="2880"/>
          </w:tcPr>
          <w:p>
            <w:r>
              <w:t>Extremely close agreement; max individual difference 0.015016 ha</w:t>
            </w:r>
          </w:p>
        </w:tc>
      </w:tr>
    </w:tbl>
    <w:p>
      <w:r>
        <w:t>The targeted duplicate-node cleaning script is retained in the project processing record and reproducibility archive.</w:t>
      </w:r>
    </w:p>
    <w:p>
      <w:r>
        <w:t>Table B4. 2018–2023 crosswalk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6"/>
              </w:rPr>
              <w:t>Metric</w:t>
            </w:r>
          </w:p>
        </w:tc>
        <w:tc>
          <w:tcPr>
            <w:tcW w:type="dxa" w:w="2880"/>
          </w:tcPr>
          <w:p>
            <w:r>
              <w:rPr>
                <w:sz w:val="16"/>
              </w:rPr>
              <w:t>Result</w:t>
            </w:r>
          </w:p>
        </w:tc>
        <w:tc>
          <w:tcPr>
            <w:tcW w:type="dxa" w:w="2880"/>
          </w:tcPr>
          <w:p>
            <w:r>
              <w:rPr>
                <w:sz w:val="16"/>
              </w:rPr>
              <w:t>Interpretation</w:t>
            </w:r>
          </w:p>
        </w:tc>
      </w:tr>
      <w:tr>
        <w:tc>
          <w:tcPr>
            <w:tcW w:type="dxa" w:w="2880"/>
          </w:tcPr>
          <w:p>
            <w:r>
              <w:rPr>
                <w:sz w:val="16"/>
              </w:rPr>
              <w:t>2018 historical sites</w:t>
            </w:r>
          </w:p>
        </w:tc>
        <w:tc>
          <w:tcPr>
            <w:tcW w:type="dxa" w:w="2880"/>
          </w:tcPr>
          <w:p>
            <w:r>
              <w:rPr>
                <w:sz w:val="16"/>
              </w:rPr>
              <w:t>38</w:t>
            </w:r>
          </w:p>
        </w:tc>
        <w:tc>
          <w:tcPr>
            <w:tcW w:type="dxa" w:w="2880"/>
          </w:tcPr>
          <w:p>
            <w:r>
              <w:rPr>
                <w:sz w:val="16"/>
              </w:rPr>
              <w:t>Complete historical site universe</w:t>
            </w:r>
          </w:p>
        </w:tc>
      </w:tr>
      <w:tr>
        <w:tc>
          <w:tcPr>
            <w:tcW w:type="dxa" w:w="2880"/>
          </w:tcPr>
          <w:p>
            <w:r>
              <w:rPr>
                <w:sz w:val="16"/>
              </w:rPr>
              <w:t>Sites with spatial overlap</w:t>
            </w:r>
          </w:p>
        </w:tc>
        <w:tc>
          <w:tcPr>
            <w:tcW w:type="dxa" w:w="2880"/>
          </w:tcPr>
          <w:p>
            <w:r>
              <w:rPr>
                <w:sz w:val="16"/>
              </w:rPr>
              <w:t>37</w:t>
            </w:r>
          </w:p>
        </w:tc>
        <w:tc>
          <w:tcPr>
            <w:tcW w:type="dxa" w:w="2880"/>
          </w:tcPr>
          <w:p>
            <w:r>
              <w:rPr>
                <w:sz w:val="16"/>
              </w:rPr>
              <w:t>Intersected ≥1 2023 camp polygon</w:t>
            </w:r>
          </w:p>
        </w:tc>
      </w:tr>
      <w:tr>
        <w:tc>
          <w:tcPr>
            <w:tcW w:type="dxa" w:w="2880"/>
          </w:tcPr>
          <w:p>
            <w:r>
              <w:rPr>
                <w:sz w:val="16"/>
              </w:rPr>
              <w:t>Unmatched sites</w:t>
            </w:r>
          </w:p>
        </w:tc>
        <w:tc>
          <w:tcPr>
            <w:tcW w:type="dxa" w:w="2880"/>
          </w:tcPr>
          <w:p>
            <w:r>
              <w:rPr>
                <w:sz w:val="16"/>
              </w:rPr>
              <w:t>1</w:t>
            </w:r>
          </w:p>
        </w:tc>
        <w:tc>
          <w:tcPr>
            <w:tcW w:type="dxa" w:w="2880"/>
          </w:tcPr>
          <w:p>
            <w:r>
              <w:rPr>
                <w:sz w:val="16"/>
              </w:rPr>
              <w:t>Retained explicitly; not force-matched</w:t>
            </w:r>
          </w:p>
        </w:tc>
      </w:tr>
      <w:tr>
        <w:tc>
          <w:tcPr>
            <w:tcW w:type="dxa" w:w="2880"/>
          </w:tcPr>
          <w:p>
            <w:r>
              <w:rPr>
                <w:sz w:val="16"/>
              </w:rPr>
              <w:t>Primary-match ties</w:t>
            </w:r>
          </w:p>
        </w:tc>
        <w:tc>
          <w:tcPr>
            <w:tcW w:type="dxa" w:w="2880"/>
          </w:tcPr>
          <w:p>
            <w:r>
              <w:rPr>
                <w:sz w:val="16"/>
              </w:rPr>
              <w:t>0</w:t>
            </w:r>
          </w:p>
        </w:tc>
        <w:tc>
          <w:tcPr>
            <w:tcW w:type="dxa" w:w="2880"/>
          </w:tcPr>
          <w:p>
            <w:r>
              <w:rPr>
                <w:sz w:val="16"/>
              </w:rPr>
              <w:t>Unique dominant overlap for every match</w:t>
            </w:r>
          </w:p>
        </w:tc>
      </w:tr>
      <w:tr>
        <w:tc>
          <w:tcPr>
            <w:tcW w:type="dxa" w:w="2880"/>
          </w:tcPr>
          <w:p>
            <w:r>
              <w:rPr>
                <w:sz w:val="16"/>
              </w:rPr>
              <w:t>High-confidence matches</w:t>
            </w:r>
          </w:p>
        </w:tc>
        <w:tc>
          <w:tcPr>
            <w:tcW w:type="dxa" w:w="2880"/>
          </w:tcPr>
          <w:p>
            <w:r>
              <w:rPr>
                <w:sz w:val="16"/>
              </w:rPr>
              <w:t>33</w:t>
            </w:r>
          </w:p>
        </w:tc>
        <w:tc>
          <w:tcPr>
            <w:tcW w:type="dxa" w:w="2880"/>
          </w:tcPr>
          <w:p>
            <w:r>
              <w:rPr>
                <w:sz w:val="16"/>
              </w:rPr>
              <w:t>Dominant overlap ≥95%</w:t>
            </w:r>
          </w:p>
        </w:tc>
      </w:tr>
      <w:tr>
        <w:tc>
          <w:tcPr>
            <w:tcW w:type="dxa" w:w="2880"/>
          </w:tcPr>
          <w:p>
            <w:r>
              <w:rPr>
                <w:sz w:val="16"/>
              </w:rPr>
              <w:t>Moderate-confidence matches</w:t>
            </w:r>
          </w:p>
        </w:tc>
        <w:tc>
          <w:tcPr>
            <w:tcW w:type="dxa" w:w="2880"/>
          </w:tcPr>
          <w:p>
            <w:r>
              <w:rPr>
                <w:sz w:val="16"/>
              </w:rPr>
              <w:t>4</w:t>
            </w:r>
          </w:p>
        </w:tc>
        <w:tc>
          <w:tcPr>
            <w:tcW w:type="dxa" w:w="2880"/>
          </w:tcPr>
          <w:p>
            <w:r>
              <w:rPr>
                <w:sz w:val="16"/>
              </w:rPr>
              <w:t>Dominant overlap ≥80% and &lt;95%</w:t>
            </w:r>
          </w:p>
        </w:tc>
      </w:tr>
      <w:tr>
        <w:tc>
          <w:tcPr>
            <w:tcW w:type="dxa" w:w="2880"/>
          </w:tcPr>
          <w:p>
            <w:r>
              <w:rPr>
                <w:sz w:val="16"/>
              </w:rPr>
              <w:t>Low-confidence matches</w:t>
            </w:r>
          </w:p>
        </w:tc>
        <w:tc>
          <w:tcPr>
            <w:tcW w:type="dxa" w:w="2880"/>
          </w:tcPr>
          <w:p>
            <w:r>
              <w:rPr>
                <w:sz w:val="16"/>
              </w:rPr>
              <w:t>0</w:t>
            </w:r>
          </w:p>
        </w:tc>
        <w:tc>
          <w:tcPr>
            <w:tcW w:type="dxa" w:w="2880"/>
          </w:tcPr>
          <w:p>
            <w:r>
              <w:rPr>
                <w:sz w:val="16"/>
              </w:rPr>
              <w:t>No match below 80% overlap</w:t>
            </w:r>
          </w:p>
        </w:tc>
      </w:tr>
      <w:tr>
        <w:tc>
          <w:tcPr>
            <w:tcW w:type="dxa" w:w="2880"/>
          </w:tcPr>
          <w:p>
            <w:r>
              <w:rPr>
                <w:sz w:val="16"/>
              </w:rPr>
              <w:t>Mean primary overlap</w:t>
            </w:r>
          </w:p>
        </w:tc>
        <w:tc>
          <w:tcPr>
            <w:tcW w:type="dxa" w:w="2880"/>
          </w:tcPr>
          <w:p>
            <w:r>
              <w:rPr>
                <w:sz w:val="16"/>
              </w:rPr>
              <w:t>97.70%</w:t>
            </w:r>
          </w:p>
        </w:tc>
        <w:tc>
          <w:tcPr>
            <w:tcW w:type="dxa" w:w="2880"/>
          </w:tcPr>
          <w:p>
            <w:r>
              <w:rPr>
                <w:sz w:val="16"/>
              </w:rPr>
              <w:t>Average dominant-overlap strength</w:t>
            </w:r>
          </w:p>
        </w:tc>
      </w:tr>
      <w:tr>
        <w:tc>
          <w:tcPr>
            <w:tcW w:type="dxa" w:w="2880"/>
          </w:tcPr>
          <w:p>
            <w:r>
              <w:rPr>
                <w:sz w:val="16"/>
              </w:rPr>
              <w:t>Median primary overlap</w:t>
            </w:r>
          </w:p>
        </w:tc>
        <w:tc>
          <w:tcPr>
            <w:tcW w:type="dxa" w:w="2880"/>
          </w:tcPr>
          <w:p>
            <w:r>
              <w:rPr>
                <w:sz w:val="16"/>
              </w:rPr>
              <w:t>99.17%</w:t>
            </w:r>
          </w:p>
        </w:tc>
        <w:tc>
          <w:tcPr>
            <w:tcW w:type="dxa" w:w="2880"/>
          </w:tcPr>
          <w:p>
            <w:r>
              <w:rPr>
                <w:sz w:val="16"/>
              </w:rPr>
              <w:t>Central tendency of match quality</w:t>
            </w:r>
          </w:p>
        </w:tc>
      </w:tr>
      <w:tr>
        <w:tc>
          <w:tcPr>
            <w:tcW w:type="dxa" w:w="2880"/>
          </w:tcPr>
          <w:p>
            <w:r>
              <w:rPr>
                <w:sz w:val="16"/>
              </w:rPr>
              <w:t>Minimum primary overlap</w:t>
            </w:r>
          </w:p>
        </w:tc>
        <w:tc>
          <w:tcPr>
            <w:tcW w:type="dxa" w:w="2880"/>
          </w:tcPr>
          <w:p>
            <w:r>
              <w:rPr>
                <w:sz w:val="16"/>
              </w:rPr>
              <w:t>80.19%</w:t>
            </w:r>
          </w:p>
        </w:tc>
        <w:tc>
          <w:tcPr>
            <w:tcW w:type="dxa" w:w="2880"/>
          </w:tcPr>
          <w:p>
            <w:r>
              <w:rPr>
                <w:sz w:val="16"/>
              </w:rPr>
              <w:t>Weakest accepted Moderate match</w:t>
            </w:r>
          </w:p>
        </w:tc>
      </w:tr>
      <w:tr>
        <w:tc>
          <w:tcPr>
            <w:tcW w:type="dxa" w:w="2880"/>
          </w:tcPr>
          <w:p>
            <w:r>
              <w:rPr>
                <w:sz w:val="16"/>
              </w:rPr>
              <w:t>Maximum primary overlap</w:t>
            </w:r>
          </w:p>
        </w:tc>
        <w:tc>
          <w:tcPr>
            <w:tcW w:type="dxa" w:w="2880"/>
          </w:tcPr>
          <w:p>
            <w:r>
              <w:rPr>
                <w:sz w:val="16"/>
              </w:rPr>
              <w:t>100%</w:t>
            </w:r>
          </w:p>
        </w:tc>
        <w:tc>
          <w:tcPr>
            <w:tcW w:type="dxa" w:w="2880"/>
          </w:tcPr>
          <w:p>
            <w:r>
              <w:rPr>
                <w:sz w:val="16"/>
              </w:rPr>
              <w:t>Perfect spatial coincidence cases</w:t>
            </w:r>
          </w:p>
        </w:tc>
      </w:tr>
      <w:tr>
        <w:tc>
          <w:tcPr>
            <w:tcW w:type="dxa" w:w="2880"/>
          </w:tcPr>
          <w:p>
            <w:r>
              <w:rPr>
                <w:sz w:val="16"/>
              </w:rPr>
              <w:t>Unmatched site</w:t>
            </w:r>
          </w:p>
        </w:tc>
        <w:tc>
          <w:tcPr>
            <w:tcW w:type="dxa" w:w="2880"/>
          </w:tcPr>
          <w:p>
            <w:r>
              <w:rPr>
                <w:sz w:val="16"/>
              </w:rPr>
              <w:t>Shamlapur</w:t>
            </w:r>
          </w:p>
        </w:tc>
        <w:tc>
          <w:tcPr>
            <w:tcW w:type="dxa" w:w="2880"/>
          </w:tcPr>
          <w:p>
            <w:r>
              <w:rPr>
                <w:sz w:val="16"/>
              </w:rPr>
              <w:t>No intersection with 2023 A1 layer</w:t>
            </w:r>
          </w:p>
        </w:tc>
      </w:tr>
      <w:tr>
        <w:tc>
          <w:tcPr>
            <w:tcW w:type="dxa" w:w="2880"/>
          </w:tcPr>
          <w:p>
            <w:r>
              <w:rPr>
                <w:sz w:val="16"/>
              </w:rPr>
              <w:t>Nearest 2023 camp to Shamlapur</w:t>
            </w:r>
          </w:p>
        </w:tc>
        <w:tc>
          <w:tcPr>
            <w:tcW w:type="dxa" w:w="2880"/>
          </w:tcPr>
          <w:p>
            <w:r>
              <w:rPr>
                <w:sz w:val="16"/>
              </w:rPr>
              <w:t>CXB-085 / Camp 22</w:t>
            </w:r>
          </w:p>
        </w:tc>
        <w:tc>
          <w:tcPr>
            <w:tcW w:type="dxa" w:w="2880"/>
          </w:tcPr>
          <w:p>
            <w:r>
              <w:rPr>
                <w:sz w:val="16"/>
              </w:rPr>
              <w:t>Nearest-neighbour diagnostic only</w:t>
            </w:r>
          </w:p>
        </w:tc>
      </w:tr>
      <w:tr>
        <w:tc>
          <w:tcPr>
            <w:tcW w:type="dxa" w:w="2880"/>
          </w:tcPr>
          <w:p>
            <w:r>
              <w:rPr>
                <w:sz w:val="16"/>
              </w:rPr>
              <w:t>Nearest distance</w:t>
            </w:r>
          </w:p>
        </w:tc>
        <w:tc>
          <w:tcPr>
            <w:tcW w:type="dxa" w:w="2880"/>
          </w:tcPr>
          <w:p>
            <w:r>
              <w:rPr>
                <w:sz w:val="16"/>
              </w:rPr>
              <w:t>4,462.79 m</w:t>
            </w:r>
          </w:p>
        </w:tc>
        <w:tc>
          <w:tcPr>
            <w:tcW w:type="dxa" w:w="2880"/>
          </w:tcPr>
          <w:p>
            <w:r>
              <w:rPr>
                <w:sz w:val="16"/>
              </w:rPr>
              <w:t>Too distant for forced assignment</w:t>
            </w:r>
          </w:p>
        </w:tc>
      </w:tr>
    </w:tbl>
    <w:p>
      <w:r>
        <w:t>Boundary-stage freeze note — The verified 2018, 2023 and 2024 official administrative layers, the 2018–2023 historical crosswalk, associated QA evidence, Decision Log entries and metadata records are locked. Any future change must be introduced through a new report version (v06+) without overwriting the validated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